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1BDBB3B9"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6A6B1A">
        <w:rPr>
          <w:b/>
          <w:noProof/>
          <w:sz w:val="24"/>
          <w:szCs w:val="24"/>
          <w:lang w:val="en-US"/>
        </w:rPr>
        <w:t>2</w:t>
      </w:r>
      <w:r w:rsidR="006C1DC1">
        <w:rPr>
          <w:b/>
          <w:noProof/>
          <w:sz w:val="24"/>
          <w:szCs w:val="24"/>
          <w:lang w:val="en-US"/>
        </w:rPr>
        <w:t xml:space="preserve"> Meeting #129-bis</w:t>
      </w:r>
      <w:r w:rsidRPr="00264B7E">
        <w:rPr>
          <w:b/>
          <w:i/>
          <w:noProof/>
          <w:sz w:val="24"/>
          <w:szCs w:val="24"/>
          <w:lang w:val="en-US"/>
        </w:rPr>
        <w:tab/>
      </w:r>
      <w:r w:rsidR="006A5FC1">
        <w:rPr>
          <w:b/>
          <w:noProof/>
          <w:sz w:val="24"/>
          <w:szCs w:val="24"/>
          <w:lang w:val="en-US"/>
        </w:rPr>
        <w:t>R2</w:t>
      </w:r>
      <w:r w:rsidR="00702913" w:rsidRPr="00264B7E">
        <w:rPr>
          <w:b/>
          <w:noProof/>
          <w:sz w:val="24"/>
          <w:szCs w:val="24"/>
          <w:lang w:val="en-US"/>
        </w:rPr>
        <w:t>-</w:t>
      </w:r>
      <w:r w:rsidR="00B5071C">
        <w:rPr>
          <w:b/>
          <w:noProof/>
          <w:sz w:val="24"/>
          <w:szCs w:val="24"/>
          <w:lang w:val="en-US"/>
        </w:rPr>
        <w:t>2502195</w:t>
      </w:r>
      <w:bookmarkStart w:id="1" w:name="_GoBack"/>
      <w:bookmarkEnd w:id="1"/>
    </w:p>
    <w:p w14:paraId="1CD5986C" w14:textId="7ADDF671" w:rsidR="00CF1EAE" w:rsidRPr="00A02C98" w:rsidRDefault="006C1DC1" w:rsidP="00CF1EAE">
      <w:pPr>
        <w:pStyle w:val="3GPPHeader"/>
        <w:rPr>
          <w:noProof/>
          <w:szCs w:val="24"/>
          <w:lang w:val="it-IT" w:eastAsia="ko-KR"/>
        </w:rPr>
      </w:pPr>
      <w:r>
        <w:rPr>
          <w:noProof/>
          <w:szCs w:val="24"/>
          <w:lang w:val="it-IT" w:eastAsia="ko-KR"/>
        </w:rPr>
        <w:t>Wuhan</w:t>
      </w:r>
      <w:r w:rsidR="006A5FC1" w:rsidRPr="00A02C98">
        <w:rPr>
          <w:noProof/>
          <w:szCs w:val="24"/>
          <w:lang w:val="it-IT" w:eastAsia="ko-KR"/>
        </w:rPr>
        <w:t xml:space="preserve">, </w:t>
      </w:r>
      <w:r>
        <w:rPr>
          <w:noProof/>
          <w:szCs w:val="24"/>
          <w:lang w:val="it-IT" w:eastAsia="ko-KR"/>
        </w:rPr>
        <w:t>CN</w:t>
      </w:r>
      <w:r w:rsidR="00702913" w:rsidRPr="00A02C98">
        <w:rPr>
          <w:noProof/>
          <w:szCs w:val="24"/>
          <w:lang w:val="it-IT" w:eastAsia="ko-KR"/>
        </w:rPr>
        <w:t xml:space="preserve">, </w:t>
      </w:r>
      <w:r>
        <w:rPr>
          <w:noProof/>
          <w:szCs w:val="24"/>
          <w:lang w:val="it-IT" w:eastAsia="ko-KR"/>
        </w:rPr>
        <w:t>April 7-11, 2025</w:t>
      </w:r>
    </w:p>
    <w:p w14:paraId="252563D4" w14:textId="23C2BAEA" w:rsidR="00E90E49" w:rsidRPr="006C1DC1" w:rsidRDefault="00E90E49" w:rsidP="000D5103">
      <w:pPr>
        <w:pStyle w:val="Heading1"/>
        <w:rPr>
          <w:lang w:val="it-IT"/>
        </w:rPr>
      </w:pPr>
    </w:p>
    <w:p w14:paraId="267378A2" w14:textId="2588C05F" w:rsidR="00E90E49" w:rsidRPr="00A02C98" w:rsidRDefault="00E90E49" w:rsidP="00311702">
      <w:pPr>
        <w:pStyle w:val="3GPPHeader"/>
        <w:rPr>
          <w:sz w:val="22"/>
          <w:szCs w:val="22"/>
          <w:lang w:val="it-IT"/>
        </w:rPr>
      </w:pPr>
      <w:r w:rsidRPr="00A02C98">
        <w:rPr>
          <w:sz w:val="22"/>
          <w:szCs w:val="22"/>
          <w:lang w:val="it-IT"/>
        </w:rPr>
        <w:t>Agenda Item:</w:t>
      </w:r>
      <w:r w:rsidRPr="00A02C98">
        <w:rPr>
          <w:sz w:val="22"/>
          <w:szCs w:val="22"/>
          <w:lang w:val="it-IT"/>
        </w:rPr>
        <w:tab/>
      </w:r>
      <w:r w:rsidR="00945F26">
        <w:rPr>
          <w:sz w:val="22"/>
          <w:szCs w:val="22"/>
          <w:lang w:val="it-IT"/>
        </w:rPr>
        <w:t>8.8.2</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000FACC9" w:rsidR="00E90E49" w:rsidRPr="00264B7E" w:rsidRDefault="003D3C45" w:rsidP="00161CFA">
      <w:pPr>
        <w:pStyle w:val="3GPPHeader"/>
        <w:jc w:val="left"/>
        <w:rPr>
          <w:sz w:val="22"/>
          <w:szCs w:val="22"/>
        </w:rPr>
      </w:pPr>
      <w:r w:rsidRPr="00264B7E">
        <w:rPr>
          <w:sz w:val="22"/>
          <w:szCs w:val="22"/>
        </w:rPr>
        <w:t>Title:</w:t>
      </w:r>
      <w:r w:rsidR="00E90E49" w:rsidRPr="00264B7E">
        <w:rPr>
          <w:sz w:val="22"/>
          <w:szCs w:val="22"/>
        </w:rPr>
        <w:tab/>
      </w:r>
      <w:r w:rsidR="006F2034">
        <w:rPr>
          <w:sz w:val="22"/>
          <w:szCs w:val="22"/>
        </w:rPr>
        <w:t xml:space="preserve">Discussion </w:t>
      </w:r>
      <w:r w:rsidR="002911F7">
        <w:rPr>
          <w:sz w:val="22"/>
          <w:szCs w:val="22"/>
        </w:rPr>
        <w:t>on cell barring for NR NTN downlink coverage enhancements</w:t>
      </w:r>
    </w:p>
    <w:p w14:paraId="24C111CD" w14:textId="4E91E707"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B55E00" w:rsidRPr="00264B7E">
        <w:rPr>
          <w:sz w:val="22"/>
          <w:szCs w:val="22"/>
        </w:rPr>
        <w:t>Discussion</w:t>
      </w:r>
      <w:r w:rsidR="00945F26">
        <w:rPr>
          <w:sz w:val="22"/>
          <w:szCs w:val="22"/>
        </w:rPr>
        <w:t xml:space="preserve"> and Decision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4ACDF94D" w14:textId="04391B1A" w:rsidR="001335E2" w:rsidRDefault="001335E2" w:rsidP="006F2034">
      <w:pPr>
        <w:pStyle w:val="BodyText"/>
      </w:pPr>
      <w:bookmarkStart w:id="2" w:name="_Ref178064866"/>
      <w:r>
        <w:t xml:space="preserve">The downlink coverage enhancement for Non-Terrestrial Networks (NTN) is being part of Rel-19 as approved in the NTN phase 3 Work Item [1]. For </w:t>
      </w:r>
      <w:r w:rsidR="00FE24F0">
        <w:t>the system-</w:t>
      </w:r>
      <w:r>
        <w:t>level enhancements part, the SS/PBCH block periodicity is being extended up to 160 ms. I</w:t>
      </w:r>
      <w:r w:rsidR="00FE24F0">
        <w:t>t brings</w:t>
      </w:r>
      <w:r>
        <w:t xml:space="preserve"> flexibil</w:t>
      </w:r>
      <w:r w:rsidR="000C55AD">
        <w:t>i</w:t>
      </w:r>
      <w:r>
        <w:t xml:space="preserve">ty </w:t>
      </w:r>
      <w:r w:rsidR="00FE24F0">
        <w:t>for power-</w:t>
      </w:r>
      <w:r>
        <w:t xml:space="preserve">sharing between satellite beams </w:t>
      </w:r>
      <w:r w:rsidR="004E387B">
        <w:t xml:space="preserve">across the satellite </w:t>
      </w:r>
      <w:r w:rsidR="000C55AD">
        <w:t>footprint :</w:t>
      </w:r>
    </w:p>
    <w:tbl>
      <w:tblPr>
        <w:tblStyle w:val="TableGrid"/>
        <w:tblW w:w="0" w:type="auto"/>
        <w:tblLook w:val="04A0" w:firstRow="1" w:lastRow="0" w:firstColumn="1" w:lastColumn="0" w:noHBand="0" w:noVBand="1"/>
      </w:tblPr>
      <w:tblGrid>
        <w:gridCol w:w="9629"/>
      </w:tblGrid>
      <w:tr w:rsidR="004E387B" w14:paraId="3111697E" w14:textId="77777777" w:rsidTr="004E387B">
        <w:tc>
          <w:tcPr>
            <w:tcW w:w="9629" w:type="dxa"/>
          </w:tcPr>
          <w:p w14:paraId="0B6D317B" w14:textId="77777777" w:rsidR="004E387B" w:rsidRPr="004E387B" w:rsidRDefault="004E387B" w:rsidP="004E387B">
            <w:pPr>
              <w:pStyle w:val="ListParagraph"/>
              <w:widowControl w:val="0"/>
              <w:tabs>
                <w:tab w:val="left" w:pos="0"/>
              </w:tabs>
              <w:overflowPunct/>
              <w:autoSpaceDE/>
              <w:autoSpaceDN/>
              <w:adjustRightInd/>
              <w:spacing w:line="276" w:lineRule="auto"/>
              <w:ind w:left="0"/>
              <w:contextualSpacing/>
              <w:textAlignment w:val="auto"/>
              <w:rPr>
                <w:rFonts w:ascii="Times New Roman" w:hAnsi="Times New Roman"/>
                <w:sz w:val="20"/>
                <w:szCs w:val="20"/>
                <w:lang w:val="fr-FR"/>
              </w:rPr>
            </w:pPr>
            <w:r w:rsidRPr="004E387B">
              <w:rPr>
                <w:rFonts w:ascii="Times New Roman" w:hAnsi="Times New Roman"/>
                <w:sz w:val="20"/>
                <w:szCs w:val="20"/>
                <w:lang w:val="fr-FR"/>
              </w:rPr>
              <w:t>[…]</w:t>
            </w:r>
          </w:p>
          <w:p w14:paraId="6499E419" w14:textId="69C0B9AF" w:rsidR="004E387B" w:rsidRDefault="004E387B" w:rsidP="004B63A3">
            <w:pPr>
              <w:pStyle w:val="ListParagraph"/>
              <w:widowControl w:val="0"/>
              <w:numPr>
                <w:ilvl w:val="0"/>
                <w:numId w:val="12"/>
              </w:numPr>
              <w:tabs>
                <w:tab w:val="left" w:pos="0"/>
              </w:tabs>
              <w:overflowPunct/>
              <w:autoSpaceDE/>
              <w:autoSpaceDN/>
              <w:adjustRightInd/>
              <w:spacing w:line="276" w:lineRule="auto"/>
              <w:contextualSpacing/>
              <w:textAlignment w:val="auto"/>
              <w:rPr>
                <w:rFonts w:ascii="Times New Roman" w:hAnsi="Times New Roman"/>
                <w:sz w:val="20"/>
                <w:szCs w:val="20"/>
              </w:rPr>
            </w:pPr>
            <w:r w:rsidRPr="00697541">
              <w:rPr>
                <w:rFonts w:ascii="Times New Roman" w:hAnsi="Times New Roman"/>
                <w:sz w:val="20"/>
                <w:szCs w:val="20"/>
              </w:rPr>
              <w:t xml:space="preserve">Specify solutions, including link level enhancements for FR1-NTN and system level enhancements for FR1-NTN and FR2-NTN, </w:t>
            </w:r>
            <w:r w:rsidRPr="004E387B">
              <w:rPr>
                <w:rFonts w:ascii="Times New Roman" w:hAnsi="Times New Roman"/>
                <w:sz w:val="20"/>
                <w:szCs w:val="20"/>
                <w:highlight w:val="yellow"/>
              </w:rPr>
              <w:t>allowing dynamic and flexible power sharing</w:t>
            </w:r>
            <w:r w:rsidRPr="00697541">
              <w:rPr>
                <w:rFonts w:ascii="Times New Roman" w:hAnsi="Times New Roman"/>
                <w:sz w:val="20"/>
                <w:szCs w:val="20"/>
              </w:rPr>
              <w:t xml:space="preserve"> between satellite beams or different satellite beam patterns/size (i.e. wide or narrow) across the satellite footprint.</w:t>
            </w:r>
          </w:p>
          <w:p w14:paraId="68FD2265" w14:textId="77777777" w:rsidR="001613CD" w:rsidRPr="00697541" w:rsidRDefault="001613CD" w:rsidP="004B63A3">
            <w:pPr>
              <w:pStyle w:val="ListParagraph"/>
              <w:widowControl w:val="0"/>
              <w:numPr>
                <w:ilvl w:val="1"/>
                <w:numId w:val="12"/>
              </w:numPr>
              <w:tabs>
                <w:tab w:val="left" w:pos="0"/>
              </w:tabs>
              <w:overflowPunct/>
              <w:autoSpaceDE/>
              <w:autoSpaceDN/>
              <w:adjustRightInd/>
              <w:spacing w:line="276" w:lineRule="auto"/>
              <w:contextualSpacing/>
              <w:textAlignment w:val="auto"/>
              <w:rPr>
                <w:rFonts w:ascii="Times New Roman" w:hAnsi="Times New Roman"/>
                <w:sz w:val="20"/>
              </w:rPr>
            </w:pPr>
            <w:r w:rsidRPr="00697541">
              <w:rPr>
                <w:rFonts w:ascii="Times New Roman" w:hAnsi="Times New Roman"/>
                <w:sz w:val="20"/>
              </w:rPr>
              <w:t>Link level enhancements are to be specified for the following channels:</w:t>
            </w:r>
          </w:p>
          <w:p w14:paraId="521D6D28" w14:textId="77777777" w:rsidR="001613CD" w:rsidRPr="00697541" w:rsidRDefault="001613CD" w:rsidP="004B63A3">
            <w:pPr>
              <w:pStyle w:val="ListParagraph"/>
              <w:widowControl w:val="0"/>
              <w:numPr>
                <w:ilvl w:val="2"/>
                <w:numId w:val="12"/>
              </w:numPr>
              <w:tabs>
                <w:tab w:val="left" w:pos="0"/>
              </w:tabs>
              <w:overflowPunct/>
              <w:autoSpaceDE/>
              <w:autoSpaceDN/>
              <w:adjustRightInd/>
              <w:spacing w:line="276" w:lineRule="auto"/>
              <w:contextualSpacing/>
              <w:textAlignment w:val="auto"/>
              <w:rPr>
                <w:rFonts w:ascii="Times New Roman" w:hAnsi="Times New Roman"/>
                <w:sz w:val="20"/>
              </w:rPr>
            </w:pPr>
            <w:r w:rsidRPr="00697541">
              <w:rPr>
                <w:rFonts w:ascii="Times New Roman" w:hAnsi="Times New Roman"/>
                <w:sz w:val="20"/>
              </w:rPr>
              <w:t xml:space="preserve">PDCCH </w:t>
            </w:r>
            <w:r>
              <w:rPr>
                <w:rFonts w:ascii="Times New Roman" w:hAnsi="Times New Roman"/>
                <w:sz w:val="20"/>
              </w:rPr>
              <w:t xml:space="preserve">at least for </w:t>
            </w:r>
            <w:r w:rsidRPr="00697541">
              <w:rPr>
                <w:rFonts w:ascii="Times New Roman" w:hAnsi="Times New Roman"/>
                <w:sz w:val="20"/>
              </w:rPr>
              <w:t>CSS (except for Type-3) via PDCCH repetition</w:t>
            </w:r>
          </w:p>
          <w:p w14:paraId="4DF18A05" w14:textId="77777777" w:rsidR="001613CD" w:rsidRPr="00697541" w:rsidRDefault="001613CD" w:rsidP="004B63A3">
            <w:pPr>
              <w:pStyle w:val="ListParagraph"/>
              <w:widowControl w:val="0"/>
              <w:numPr>
                <w:ilvl w:val="2"/>
                <w:numId w:val="12"/>
              </w:numPr>
              <w:tabs>
                <w:tab w:val="left" w:pos="0"/>
              </w:tabs>
              <w:overflowPunct/>
              <w:autoSpaceDE/>
              <w:autoSpaceDN/>
              <w:adjustRightInd/>
              <w:spacing w:line="276" w:lineRule="auto"/>
              <w:contextualSpacing/>
              <w:textAlignment w:val="auto"/>
              <w:rPr>
                <w:rFonts w:ascii="Times New Roman" w:hAnsi="Times New Roman"/>
                <w:sz w:val="20"/>
              </w:rPr>
            </w:pPr>
            <w:r w:rsidRPr="00697541">
              <w:rPr>
                <w:rFonts w:ascii="Times New Roman" w:hAnsi="Times New Roman"/>
                <w:sz w:val="20"/>
              </w:rPr>
              <w:t>PDSCH with Msg4 via PDSCH repetition</w:t>
            </w:r>
          </w:p>
          <w:p w14:paraId="4648D0A3" w14:textId="77777777" w:rsidR="001613CD" w:rsidRPr="00697541" w:rsidRDefault="001613CD" w:rsidP="004B63A3">
            <w:pPr>
              <w:pStyle w:val="ListParagraph"/>
              <w:widowControl w:val="0"/>
              <w:numPr>
                <w:ilvl w:val="2"/>
                <w:numId w:val="12"/>
              </w:numPr>
              <w:tabs>
                <w:tab w:val="left" w:pos="0"/>
              </w:tabs>
              <w:overflowPunct/>
              <w:autoSpaceDE/>
              <w:autoSpaceDN/>
              <w:adjustRightInd/>
              <w:spacing w:line="276" w:lineRule="auto"/>
              <w:contextualSpacing/>
              <w:textAlignment w:val="auto"/>
              <w:rPr>
                <w:rFonts w:ascii="Times New Roman" w:hAnsi="Times New Roman"/>
                <w:sz w:val="20"/>
              </w:rPr>
            </w:pPr>
            <w:r w:rsidRPr="00697541">
              <w:rPr>
                <w:rFonts w:ascii="Times New Roman" w:hAnsi="Times New Roman"/>
                <w:sz w:val="20"/>
              </w:rPr>
              <w:t>PDSCH with SIB1 via 2 PDSCH repetitions within 20 ms duration</w:t>
            </w:r>
          </w:p>
          <w:p w14:paraId="276A2ED3" w14:textId="218E2122" w:rsidR="004E387B" w:rsidRPr="00697541" w:rsidRDefault="004E387B" w:rsidP="004B63A3">
            <w:pPr>
              <w:pStyle w:val="ListParagraph"/>
              <w:widowControl w:val="0"/>
              <w:numPr>
                <w:ilvl w:val="1"/>
                <w:numId w:val="12"/>
              </w:numPr>
              <w:tabs>
                <w:tab w:val="left" w:pos="0"/>
              </w:tabs>
              <w:overflowPunct/>
              <w:autoSpaceDE/>
              <w:autoSpaceDN/>
              <w:adjustRightInd/>
              <w:spacing w:line="276" w:lineRule="auto"/>
              <w:contextualSpacing/>
              <w:textAlignment w:val="auto"/>
              <w:rPr>
                <w:rFonts w:ascii="Times New Roman" w:hAnsi="Times New Roman"/>
                <w:sz w:val="20"/>
              </w:rPr>
            </w:pPr>
            <w:r w:rsidRPr="00697541">
              <w:rPr>
                <w:rFonts w:ascii="Times New Roman" w:hAnsi="Times New Roman"/>
                <w:sz w:val="20"/>
              </w:rPr>
              <w:t>System-level enhancements are to be specified for the following:</w:t>
            </w:r>
          </w:p>
          <w:p w14:paraId="2F930A74" w14:textId="77777777" w:rsidR="004E387B" w:rsidRPr="00697541" w:rsidRDefault="004E387B" w:rsidP="004B63A3">
            <w:pPr>
              <w:pStyle w:val="ListParagraph"/>
              <w:numPr>
                <w:ilvl w:val="2"/>
                <w:numId w:val="12"/>
              </w:numPr>
              <w:overflowPunct/>
              <w:snapToGrid w:val="0"/>
              <w:spacing w:after="120"/>
              <w:textAlignment w:val="auto"/>
              <w:rPr>
                <w:rFonts w:ascii="Times New Roman" w:hAnsi="Times New Roman"/>
                <w:sz w:val="20"/>
              </w:rPr>
            </w:pPr>
            <w:r w:rsidRPr="004E387B">
              <w:rPr>
                <w:rFonts w:ascii="Times New Roman" w:hAnsi="Times New Roman"/>
                <w:sz w:val="20"/>
                <w:highlight w:val="yellow"/>
              </w:rPr>
              <w:t>Support of extended periodicity of the half frames with SS/PBCH block</w:t>
            </w:r>
            <w:r w:rsidRPr="00697541">
              <w:rPr>
                <w:rFonts w:ascii="Times New Roman" w:hAnsi="Times New Roman"/>
                <w:sz w:val="20"/>
              </w:rPr>
              <w:t>s assumed by UE during initial access.</w:t>
            </w:r>
          </w:p>
          <w:p w14:paraId="3704C7A7" w14:textId="77777777" w:rsidR="004E387B" w:rsidRDefault="004E387B" w:rsidP="004B63A3">
            <w:pPr>
              <w:pStyle w:val="ListParagraph"/>
              <w:numPr>
                <w:ilvl w:val="3"/>
                <w:numId w:val="12"/>
              </w:numPr>
              <w:overflowPunct/>
              <w:snapToGrid w:val="0"/>
              <w:spacing w:after="120"/>
              <w:textAlignment w:val="auto"/>
              <w:rPr>
                <w:rFonts w:ascii="Times New Roman" w:hAnsi="Times New Roman"/>
                <w:sz w:val="20"/>
              </w:rPr>
            </w:pPr>
            <w:r w:rsidRPr="00697541">
              <w:rPr>
                <w:rFonts w:ascii="Times New Roman" w:hAnsi="Times New Roman"/>
                <w:sz w:val="20"/>
              </w:rPr>
              <w:t>The maximum of the additional default value (apart from the existing 20ms value) is 160 ms</w:t>
            </w:r>
          </w:p>
          <w:p w14:paraId="3544F255" w14:textId="038264DD" w:rsidR="004E387B" w:rsidRPr="004E387B" w:rsidRDefault="004E387B" w:rsidP="004E387B">
            <w:pPr>
              <w:pStyle w:val="ListParagraph"/>
              <w:widowControl w:val="0"/>
              <w:tabs>
                <w:tab w:val="left" w:pos="0"/>
              </w:tabs>
              <w:overflowPunct/>
              <w:autoSpaceDE/>
              <w:autoSpaceDN/>
              <w:adjustRightInd/>
              <w:spacing w:line="276" w:lineRule="auto"/>
              <w:ind w:left="0"/>
              <w:contextualSpacing/>
              <w:textAlignment w:val="auto"/>
              <w:rPr>
                <w:lang w:val="fr-FR"/>
              </w:rPr>
            </w:pPr>
            <w:r w:rsidRPr="004E387B">
              <w:rPr>
                <w:rFonts w:ascii="Times New Roman" w:hAnsi="Times New Roman"/>
                <w:sz w:val="20"/>
                <w:szCs w:val="20"/>
                <w:lang w:val="fr-FR"/>
              </w:rPr>
              <w:t>[…]</w:t>
            </w:r>
          </w:p>
        </w:tc>
      </w:tr>
    </w:tbl>
    <w:p w14:paraId="03FEA5E5" w14:textId="77777777" w:rsidR="004E387B" w:rsidRDefault="004E387B" w:rsidP="006F2034">
      <w:pPr>
        <w:pStyle w:val="BodyText"/>
      </w:pPr>
    </w:p>
    <w:p w14:paraId="77EFAEFE" w14:textId="729E90CE" w:rsidR="006F2034" w:rsidRDefault="006F2034" w:rsidP="006F2034">
      <w:pPr>
        <w:pStyle w:val="BodyText"/>
      </w:pPr>
      <w:r>
        <w:t xml:space="preserve">In this contribution, we discuss </w:t>
      </w:r>
      <w:r w:rsidR="004E387B">
        <w:t>the cell barring mechanism to apply in cell</w:t>
      </w:r>
      <w:r w:rsidR="00FE24F0">
        <w:t>s</w:t>
      </w:r>
      <w:r w:rsidR="004E387B">
        <w:t xml:space="preserve"> operating in downlink coverage enhancement mode.</w:t>
      </w:r>
    </w:p>
    <w:p w14:paraId="59E13DC4" w14:textId="77777777" w:rsidR="004000E8" w:rsidRPr="00264B7E" w:rsidRDefault="00230D18" w:rsidP="00CE0424">
      <w:pPr>
        <w:pStyle w:val="Heading1"/>
        <w:rPr>
          <w:lang w:val="en-US"/>
        </w:rPr>
      </w:pPr>
      <w:r w:rsidRPr="00264B7E">
        <w:rPr>
          <w:lang w:val="en-US"/>
        </w:rPr>
        <w:t>2</w:t>
      </w:r>
      <w:r w:rsidRPr="00264B7E">
        <w:rPr>
          <w:lang w:val="en-US"/>
        </w:rPr>
        <w:tab/>
      </w:r>
      <w:r w:rsidR="004000E8" w:rsidRPr="00264B7E">
        <w:rPr>
          <w:lang w:val="en-US"/>
        </w:rPr>
        <w:t>Discussion</w:t>
      </w:r>
      <w:bookmarkEnd w:id="2"/>
    </w:p>
    <w:p w14:paraId="2D0575E7" w14:textId="5BEEE587" w:rsidR="009A7842" w:rsidRPr="009A7842" w:rsidRDefault="001335E2" w:rsidP="001335E2">
      <w:pPr>
        <w:pStyle w:val="Heading2"/>
        <w:rPr>
          <w:lang w:eastAsia="en-GB"/>
        </w:rPr>
      </w:pPr>
      <w:r>
        <w:rPr>
          <w:lang w:eastAsia="en-GB"/>
        </w:rPr>
        <w:t>Cell barring</w:t>
      </w:r>
    </w:p>
    <w:p w14:paraId="373EC75E" w14:textId="1771E080" w:rsidR="00DC7187" w:rsidRDefault="004E387B" w:rsidP="00DC7187">
      <w:pPr>
        <w:rPr>
          <w:lang w:eastAsia="en-GB"/>
        </w:rPr>
      </w:pPr>
      <w:r>
        <w:rPr>
          <w:lang w:eastAsia="en-GB"/>
        </w:rPr>
        <w:t>In the RAN2#129 meeting [2]</w:t>
      </w:r>
      <w:r w:rsidR="00632964">
        <w:rPr>
          <w:lang w:eastAsia="en-GB"/>
        </w:rPr>
        <w:t xml:space="preserve"> the cell barring to be applied for cell</w:t>
      </w:r>
      <w:r w:rsidR="00FE24F0">
        <w:rPr>
          <w:lang w:eastAsia="en-GB"/>
        </w:rPr>
        <w:t>s</w:t>
      </w:r>
      <w:r w:rsidR="00632964">
        <w:rPr>
          <w:lang w:eastAsia="en-GB"/>
        </w:rPr>
        <w:t xml:space="preserve"> operating in downlink coverage enhancement mode has been discussed:</w:t>
      </w:r>
    </w:p>
    <w:tbl>
      <w:tblPr>
        <w:tblStyle w:val="TableGrid"/>
        <w:tblW w:w="0" w:type="auto"/>
        <w:tblLook w:val="04A0" w:firstRow="1" w:lastRow="0" w:firstColumn="1" w:lastColumn="0" w:noHBand="0" w:noVBand="1"/>
      </w:tblPr>
      <w:tblGrid>
        <w:gridCol w:w="9629"/>
      </w:tblGrid>
      <w:tr w:rsidR="00632964" w14:paraId="5D67F284" w14:textId="77777777" w:rsidTr="00632964">
        <w:tc>
          <w:tcPr>
            <w:tcW w:w="9629" w:type="dxa"/>
          </w:tcPr>
          <w:p w14:paraId="7438C8B1" w14:textId="77777777" w:rsidR="00632964" w:rsidRDefault="00632964" w:rsidP="00632964">
            <w:pPr>
              <w:pStyle w:val="Comments"/>
            </w:pPr>
            <w:r>
              <w:t>Proposal 6: It is up to NW implementation to set cellBarredNTN-r17 to barred to bar UEs not supporting R19 extended SSB periodicity. A new field cellBarredNTN-r19 (value is set to barred or notBarred) is introduced for future use. UEs supporting extended SSB periodicity ignore cellBarredNTN-r17 if the new cellBarredNTN-r19 is present, and follow cellBarredNTN-r17 if the new cellBarredNTN-r19 is absent.</w:t>
            </w:r>
          </w:p>
          <w:p w14:paraId="4178279C" w14:textId="77777777" w:rsidR="00632964" w:rsidRDefault="00632964" w:rsidP="00632964">
            <w:pPr>
              <w:pStyle w:val="Agreement"/>
            </w:pPr>
            <w:r>
              <w:t>Continue in the next meeting</w:t>
            </w:r>
          </w:p>
          <w:p w14:paraId="3564218D" w14:textId="77777777" w:rsidR="00632964" w:rsidRDefault="00632964" w:rsidP="00DC7187">
            <w:pPr>
              <w:rPr>
                <w:lang w:eastAsia="en-GB"/>
              </w:rPr>
            </w:pPr>
          </w:p>
        </w:tc>
      </w:tr>
    </w:tbl>
    <w:p w14:paraId="213F5453" w14:textId="77777777" w:rsidR="00632964" w:rsidRPr="002B7730" w:rsidRDefault="00632964" w:rsidP="00DC7187">
      <w:pPr>
        <w:rPr>
          <w:lang w:eastAsia="en-GB"/>
        </w:rPr>
      </w:pPr>
    </w:p>
    <w:p w14:paraId="76C5BC6C" w14:textId="582D162A" w:rsidR="00632964" w:rsidRDefault="00632964" w:rsidP="00632964">
      <w:pPr>
        <w:jc w:val="left"/>
      </w:pPr>
      <w:r>
        <w:t>Two questions have to be solved to decide</w:t>
      </w:r>
      <w:r w:rsidR="00FE24F0">
        <w:t xml:space="preserve"> if</w:t>
      </w:r>
      <w:r>
        <w:t xml:space="preserve"> a new cell barring procedure is needed in Rel-19 for downlink coverage enhancement:</w:t>
      </w:r>
    </w:p>
    <w:p w14:paraId="024C304E" w14:textId="6A3F54C7" w:rsidR="00632964" w:rsidRPr="00632964" w:rsidRDefault="00632964" w:rsidP="004B63A3">
      <w:pPr>
        <w:pStyle w:val="ListParagraph"/>
        <w:numPr>
          <w:ilvl w:val="0"/>
          <w:numId w:val="15"/>
        </w:numPr>
        <w:jc w:val="left"/>
      </w:pPr>
      <w:r w:rsidRPr="00632964">
        <w:rPr>
          <w:lang w:val="en-US"/>
        </w:rPr>
        <w:t xml:space="preserve">Is a cell operating with extended </w:t>
      </w:r>
      <w:r>
        <w:rPr>
          <w:lang w:val="en-US"/>
        </w:rPr>
        <w:t>SS/PBCH block periodicity</w:t>
      </w:r>
      <w:r w:rsidR="00FE24F0">
        <w:rPr>
          <w:lang w:val="en-US"/>
        </w:rPr>
        <w:t xml:space="preserve"> (i.e. </w:t>
      </w:r>
      <w:r w:rsidR="008E38DF">
        <w:rPr>
          <w:lang w:val="en-US"/>
        </w:rPr>
        <w:t>different from 20 ms</w:t>
      </w:r>
      <w:r w:rsidR="00FE24F0">
        <w:rPr>
          <w:lang w:val="en-US"/>
        </w:rPr>
        <w:t xml:space="preserve">) </w:t>
      </w:r>
      <w:r>
        <w:rPr>
          <w:lang w:val="en-US"/>
        </w:rPr>
        <w:t>is a different cell than a non-DL CE cell from the UE standpoint ?</w:t>
      </w:r>
    </w:p>
    <w:p w14:paraId="5600F60C" w14:textId="7CE52E27" w:rsidR="00632964" w:rsidRPr="000C55AD" w:rsidRDefault="00632964" w:rsidP="004B63A3">
      <w:pPr>
        <w:pStyle w:val="ListParagraph"/>
        <w:numPr>
          <w:ilvl w:val="0"/>
          <w:numId w:val="15"/>
        </w:numPr>
        <w:jc w:val="left"/>
      </w:pPr>
      <w:r w:rsidRPr="00632964">
        <w:rPr>
          <w:lang w:val="en-US"/>
        </w:rPr>
        <w:t>Is a Rel-19 cell supporting link level enhancement</w:t>
      </w:r>
      <w:r w:rsidR="00A440ED">
        <w:rPr>
          <w:lang w:val="en-US"/>
        </w:rPr>
        <w:t>s</w:t>
      </w:r>
      <w:r w:rsidRPr="00632964">
        <w:rPr>
          <w:lang w:val="en-US"/>
        </w:rPr>
        <w:t xml:space="preserve"> is backward compatible to legacy UE ?</w:t>
      </w:r>
    </w:p>
    <w:p w14:paraId="7F287A70" w14:textId="77777777" w:rsidR="000C55AD" w:rsidRPr="000C55AD" w:rsidRDefault="000C55AD" w:rsidP="000C55AD">
      <w:pPr>
        <w:jc w:val="left"/>
      </w:pPr>
    </w:p>
    <w:p w14:paraId="428FA46D" w14:textId="28212A79" w:rsidR="00632964" w:rsidRDefault="000C55AD" w:rsidP="000C55AD">
      <w:pPr>
        <w:pStyle w:val="Observation"/>
      </w:pPr>
      <w:r>
        <w:t xml:space="preserve">The Rel-19 Downlink Coverage Enhancement feature includes two parts: </w:t>
      </w:r>
      <w:r w:rsidR="00080313">
        <w:t xml:space="preserve">a </w:t>
      </w:r>
      <w:r>
        <w:t>system-level (i.e. e</w:t>
      </w:r>
      <w:r w:rsidR="00FE24F0">
        <w:t>xtens</w:t>
      </w:r>
      <w:r>
        <w:t>ion of the SSB periodicity)</w:t>
      </w:r>
      <w:r w:rsidR="00080313">
        <w:t xml:space="preserve"> enhancement part</w:t>
      </w:r>
      <w:r>
        <w:t xml:space="preserve"> and </w:t>
      </w:r>
      <w:r w:rsidR="00080313">
        <w:t xml:space="preserve">a </w:t>
      </w:r>
      <w:r w:rsidR="00FE24F0">
        <w:t>link-</w:t>
      </w:r>
      <w:r>
        <w:t>level (i.e. PDCCH and PDSCH) enhancements</w:t>
      </w:r>
      <w:r w:rsidR="00080313">
        <w:t xml:space="preserve"> part.</w:t>
      </w:r>
    </w:p>
    <w:p w14:paraId="1912E6D2" w14:textId="77777777" w:rsidR="00080313" w:rsidRDefault="00080313" w:rsidP="00080313">
      <w:pPr>
        <w:pStyle w:val="Observation"/>
        <w:numPr>
          <w:ilvl w:val="0"/>
          <w:numId w:val="0"/>
        </w:numPr>
        <w:ind w:left="1701" w:hanging="1701"/>
      </w:pPr>
    </w:p>
    <w:p w14:paraId="35095BA5" w14:textId="28F36306" w:rsidR="00E47876" w:rsidRDefault="00080313" w:rsidP="00080313">
      <w:pPr>
        <w:jc w:val="left"/>
      </w:pPr>
      <w:r>
        <w:t xml:space="preserve">For the first question, what is new with the downlink coverage enhancement is the SSB periodicity extension for the initial access. </w:t>
      </w:r>
      <w:r w:rsidR="00FE24F0">
        <w:t>SSB periodicites</w:t>
      </w:r>
      <w:r>
        <w:t xml:space="preserve"> up to 160 ms are already supported in the specifications for secondary cells</w:t>
      </w:r>
      <w:r w:rsidR="00FE24F0">
        <w:t>, for exa</w:t>
      </w:r>
      <w:r>
        <w:t>mple [3] :</w:t>
      </w:r>
    </w:p>
    <w:tbl>
      <w:tblPr>
        <w:tblStyle w:val="TableGrid"/>
        <w:tblW w:w="0" w:type="auto"/>
        <w:tblLook w:val="04A0" w:firstRow="1" w:lastRow="0" w:firstColumn="1" w:lastColumn="0" w:noHBand="0" w:noVBand="1"/>
      </w:tblPr>
      <w:tblGrid>
        <w:gridCol w:w="9629"/>
      </w:tblGrid>
      <w:tr w:rsidR="00E47876" w14:paraId="05EB5991" w14:textId="77777777" w:rsidTr="00E47876">
        <w:tc>
          <w:tcPr>
            <w:tcW w:w="9629" w:type="dxa"/>
          </w:tcPr>
          <w:p w14:paraId="4E7BFED0" w14:textId="46B589DB" w:rsidR="00E47876" w:rsidRPr="00E47876" w:rsidRDefault="00E47876" w:rsidP="00632964">
            <w:pPr>
              <w:jc w:val="left"/>
              <w:rPr>
                <w:rFonts w:ascii="Courier New" w:hAnsi="Courier New" w:cs="Courier New"/>
              </w:rPr>
            </w:pPr>
            <w:r w:rsidRPr="00E47876">
              <w:rPr>
                <w:rFonts w:ascii="Courier New" w:hAnsi="Courier New" w:cs="Courier New"/>
                <w:sz w:val="20"/>
              </w:rPr>
              <w:t xml:space="preserve">ssb-periodicityServingCell ENUMERATED { ms5, ms10, ms20, ms40, ms80, </w:t>
            </w:r>
            <w:r w:rsidRPr="00E47876">
              <w:rPr>
                <w:rFonts w:ascii="Courier New" w:hAnsi="Courier New" w:cs="Courier New"/>
                <w:sz w:val="20"/>
                <w:highlight w:val="yellow"/>
              </w:rPr>
              <w:t>ms160</w:t>
            </w:r>
            <w:r w:rsidRPr="00E47876">
              <w:rPr>
                <w:rFonts w:ascii="Courier New" w:hAnsi="Courier New" w:cs="Courier New"/>
                <w:sz w:val="20"/>
              </w:rPr>
              <w:t>, spare2, spare1 } OPTIONAL, -- Need S</w:t>
            </w:r>
          </w:p>
        </w:tc>
      </w:tr>
    </w:tbl>
    <w:p w14:paraId="0D3FB6F8" w14:textId="77777777" w:rsidR="00080313" w:rsidRDefault="00080313" w:rsidP="00632964">
      <w:pPr>
        <w:jc w:val="left"/>
      </w:pPr>
    </w:p>
    <w:p w14:paraId="6C78E4F5" w14:textId="27FC53B6" w:rsidR="00E47876" w:rsidRDefault="00E47876" w:rsidP="00632964">
      <w:pPr>
        <w:jc w:val="left"/>
      </w:pPr>
      <w:r>
        <w:t>Confirmed in RAN2#127</w:t>
      </w:r>
      <w:r w:rsidR="00080313">
        <w:t xml:space="preserve"> that there is no RAN2 impact on SSB configuration if the SSB periodicity is not larger than 160 ms:</w:t>
      </w:r>
    </w:p>
    <w:tbl>
      <w:tblPr>
        <w:tblStyle w:val="TableGrid"/>
        <w:tblW w:w="0" w:type="auto"/>
        <w:tblLook w:val="04A0" w:firstRow="1" w:lastRow="0" w:firstColumn="1" w:lastColumn="0" w:noHBand="0" w:noVBand="1"/>
      </w:tblPr>
      <w:tblGrid>
        <w:gridCol w:w="9629"/>
      </w:tblGrid>
      <w:tr w:rsidR="00E47876" w14:paraId="34582C36" w14:textId="77777777" w:rsidTr="00E47876">
        <w:tc>
          <w:tcPr>
            <w:tcW w:w="9629" w:type="dxa"/>
          </w:tcPr>
          <w:p w14:paraId="74EC9D37" w14:textId="280A2680" w:rsidR="00E47876" w:rsidRPr="00E47876" w:rsidRDefault="00E47876" w:rsidP="00E47876">
            <w:pPr>
              <w:rPr>
                <w:lang w:val="en-GB"/>
              </w:rPr>
            </w:pPr>
            <w:r w:rsidRPr="00E47876">
              <w:rPr>
                <w:sz w:val="20"/>
                <w:lang w:val="en-GB"/>
              </w:rPr>
              <w:t>From RAN2 point of view, if the SSB periodicity is no larger than 160ms, there is no RAN2 impact on SSB configuration (there might still be impacts on DTX aspects)</w:t>
            </w:r>
          </w:p>
        </w:tc>
      </w:tr>
    </w:tbl>
    <w:p w14:paraId="4B7C07F8" w14:textId="4D5F1D1E" w:rsidR="00E47876" w:rsidRDefault="00E47876" w:rsidP="00632964">
      <w:pPr>
        <w:jc w:val="left"/>
      </w:pPr>
    </w:p>
    <w:p w14:paraId="54ECE782" w14:textId="489B5F6E" w:rsidR="00080313" w:rsidRDefault="00080313" w:rsidP="00080313">
      <w:pPr>
        <w:pStyle w:val="Observation"/>
      </w:pPr>
      <w:r>
        <w:t xml:space="preserve">The SSB periodicity up to 160 ms is already supported in the specifications for Connected UE </w:t>
      </w:r>
      <w:r w:rsidR="00FE24F0">
        <w:t xml:space="preserve">in a secondary cell, </w:t>
      </w:r>
      <w:r>
        <w:t>but not for initial access cell</w:t>
      </w:r>
    </w:p>
    <w:p w14:paraId="0F6C8DDC" w14:textId="27F1B659" w:rsidR="00080313" w:rsidRDefault="00080313" w:rsidP="00080313">
      <w:r>
        <w:t xml:space="preserve">The UE can get the SSB periodicity different </w:t>
      </w:r>
      <w:r w:rsidR="00FE24F0">
        <w:t>from</w:t>
      </w:r>
      <w:r>
        <w:t xml:space="preserve"> 20 ms after decoding SIB1 </w:t>
      </w:r>
      <w:r>
        <w:t>(</w:t>
      </w:r>
      <w:r>
        <w:t>e.g</w:t>
      </w:r>
      <w:r>
        <w:t xml:space="preserve">. </w:t>
      </w:r>
      <w:r>
        <w:rPr>
          <w:i/>
        </w:rPr>
        <w:t>ServingCellConfigCommonSIB</w:t>
      </w:r>
      <w:r>
        <w:t>)</w:t>
      </w:r>
      <w:r>
        <w:t>.</w:t>
      </w:r>
    </w:p>
    <w:p w14:paraId="7F832961" w14:textId="6D7303D1" w:rsidR="00A5762C" w:rsidRDefault="00080313" w:rsidP="00632964">
      <w:pPr>
        <w:jc w:val="left"/>
      </w:pPr>
      <w:r>
        <w:t xml:space="preserve">For the initial access with cell extended SSB periodicity, </w:t>
      </w:r>
      <w:r w:rsidR="00A5762C">
        <w:t>RAN1#119</w:t>
      </w:r>
      <w:r>
        <w:t xml:space="preserve"> made the observation below:</w:t>
      </w:r>
    </w:p>
    <w:tbl>
      <w:tblPr>
        <w:tblStyle w:val="TableGrid"/>
        <w:tblW w:w="0" w:type="auto"/>
        <w:tblLook w:val="04A0" w:firstRow="1" w:lastRow="0" w:firstColumn="1" w:lastColumn="0" w:noHBand="0" w:noVBand="1"/>
      </w:tblPr>
      <w:tblGrid>
        <w:gridCol w:w="9629"/>
      </w:tblGrid>
      <w:tr w:rsidR="00A5762C" w14:paraId="46654C8B" w14:textId="77777777" w:rsidTr="00A5762C">
        <w:tc>
          <w:tcPr>
            <w:tcW w:w="9629" w:type="dxa"/>
          </w:tcPr>
          <w:p w14:paraId="558058B5" w14:textId="77777777" w:rsidR="00A5762C" w:rsidRPr="00A5762C" w:rsidRDefault="00A5762C" w:rsidP="00A5762C">
            <w:pPr>
              <w:overflowPunct/>
              <w:autoSpaceDE/>
              <w:autoSpaceDN/>
              <w:adjustRightInd/>
              <w:spacing w:after="0"/>
              <w:jc w:val="left"/>
              <w:textAlignment w:val="auto"/>
              <w:rPr>
                <w:rFonts w:ascii="Times" w:hAnsi="Times"/>
                <w:b/>
                <w:bCs/>
                <w:lang w:val="en-GB" w:eastAsia="x-none"/>
              </w:rPr>
            </w:pPr>
            <w:r w:rsidRPr="00A5762C">
              <w:rPr>
                <w:rFonts w:ascii="Times" w:hAnsi="Times"/>
                <w:b/>
                <w:bCs/>
                <w:lang w:val="en-GB" w:eastAsia="x-none"/>
              </w:rPr>
              <w:t>Observation</w:t>
            </w:r>
          </w:p>
          <w:p w14:paraId="37D80334" w14:textId="77777777" w:rsidR="00A5762C" w:rsidRPr="00A5762C" w:rsidRDefault="00A5762C" w:rsidP="00A5762C">
            <w:pPr>
              <w:overflowPunct/>
              <w:autoSpaceDE/>
              <w:autoSpaceDN/>
              <w:adjustRightInd/>
              <w:spacing w:after="0"/>
              <w:jc w:val="left"/>
              <w:textAlignment w:val="auto"/>
              <w:rPr>
                <w:rFonts w:ascii="Times" w:hAnsi="Times"/>
                <w:lang w:val="en-GB" w:eastAsia="x-none"/>
              </w:rPr>
            </w:pPr>
            <w:r w:rsidRPr="00A5762C">
              <w:rPr>
                <w:rFonts w:ascii="Times" w:hAnsi="Times"/>
                <w:highlight w:val="yellow"/>
                <w:lang w:val="en-GB" w:eastAsia="x-none"/>
              </w:rPr>
              <w:t>Backward compatibility for legacy UEs (i.e. Rel-17 and Rel-18 UEs) assuming a default SSB periodicity of 20ms is not guaranteed when SS/PBCH blocks periodicity is larger than 20ms</w:t>
            </w:r>
            <w:r w:rsidRPr="00A5762C">
              <w:rPr>
                <w:rFonts w:ascii="Times" w:hAnsi="Times"/>
                <w:lang w:val="en-GB" w:eastAsia="x-none"/>
              </w:rPr>
              <w:t xml:space="preserve"> within the cell used for initial frequency scan.</w:t>
            </w:r>
          </w:p>
          <w:p w14:paraId="74FFA77F" w14:textId="77777777" w:rsidR="00A5762C" w:rsidRPr="00A5762C" w:rsidRDefault="00A5762C" w:rsidP="00A5762C">
            <w:pPr>
              <w:overflowPunct/>
              <w:autoSpaceDE/>
              <w:autoSpaceDN/>
              <w:adjustRightInd/>
              <w:spacing w:after="0"/>
              <w:jc w:val="left"/>
              <w:textAlignment w:val="auto"/>
              <w:rPr>
                <w:rFonts w:ascii="Times" w:hAnsi="Times"/>
                <w:lang w:val="en-GB" w:eastAsia="x-none"/>
              </w:rPr>
            </w:pPr>
            <w:r w:rsidRPr="00A5762C">
              <w:rPr>
                <w:rFonts w:ascii="Times" w:hAnsi="Times"/>
                <w:lang w:val="en-GB" w:eastAsia="x-none"/>
              </w:rPr>
              <w:t>Legacy UEs (i.e. Rel-17 and Rel-18 UEs) are not expected to be able to camp on a cell with SS/PBCH blocks periodicity larger than 160 ms.</w:t>
            </w:r>
          </w:p>
          <w:p w14:paraId="2B5DBE96" w14:textId="77777777" w:rsidR="00A5762C" w:rsidRPr="00A5762C" w:rsidRDefault="00A5762C" w:rsidP="00632964">
            <w:pPr>
              <w:jc w:val="left"/>
              <w:rPr>
                <w:lang w:val="en-GB"/>
              </w:rPr>
            </w:pPr>
          </w:p>
        </w:tc>
      </w:tr>
    </w:tbl>
    <w:p w14:paraId="52724C4C" w14:textId="58AEA871" w:rsidR="00A5762C" w:rsidRDefault="00A5762C" w:rsidP="00632964">
      <w:pPr>
        <w:jc w:val="left"/>
      </w:pPr>
    </w:p>
    <w:p w14:paraId="3F80E858" w14:textId="4D518E6C" w:rsidR="00080313" w:rsidRDefault="00080313" w:rsidP="00632964">
      <w:pPr>
        <w:jc w:val="left"/>
      </w:pPr>
      <w:r>
        <w:t>The backward compatibility cannot be ensured for legacy UEs. However, if a UE is able to decode PBCH and SIB1, there is no reason to prevent it</w:t>
      </w:r>
      <w:r w:rsidR="00FE24F0">
        <w:t xml:space="preserve"> from</w:t>
      </w:r>
      <w:r>
        <w:t xml:space="preserve"> connecting with a barring mechanism.</w:t>
      </w:r>
    </w:p>
    <w:p w14:paraId="279CAD91" w14:textId="02D0B3AE" w:rsidR="00A5762C" w:rsidRDefault="00A5762C" w:rsidP="00A5762C">
      <w:pPr>
        <w:pStyle w:val="Observation"/>
      </w:pPr>
      <w:r>
        <w:t>Based on RAN1 observat</w:t>
      </w:r>
      <w:r>
        <w:t>ion, legacy UE</w:t>
      </w:r>
      <w:r w:rsidR="00A51954">
        <w:t>s</w:t>
      </w:r>
      <w:r>
        <w:t xml:space="preserve"> may not be able to</w:t>
      </w:r>
      <w:r w:rsidR="00F81690">
        <w:t xml:space="preserve"> camp on Rel-19 cell with extend</w:t>
      </w:r>
      <w:r>
        <w:t>ed SSB periodicity</w:t>
      </w:r>
    </w:p>
    <w:p w14:paraId="0A97A2DC" w14:textId="73CE86A5" w:rsidR="00F81690" w:rsidRDefault="00F81690" w:rsidP="00F81690">
      <w:r>
        <w:t>In all the cases, the UE that is not able to decode SIB1 will not be able to decode barring bit. In this case, the UE will just not be able to detect the cell.</w:t>
      </w:r>
    </w:p>
    <w:p w14:paraId="5775BE8E" w14:textId="51A124CA" w:rsidR="00F81690" w:rsidRDefault="00F81690" w:rsidP="00F81690">
      <w:pPr>
        <w:pStyle w:val="Observation"/>
      </w:pPr>
      <w:r>
        <w:t xml:space="preserve">If a UE is not able to decode SIB1 in a cell with extended periodicity, </w:t>
      </w:r>
      <w:r>
        <w:t>therefore even if cell barring is defined, the UE will not be able to decode it</w:t>
      </w:r>
    </w:p>
    <w:p w14:paraId="3BD44C24" w14:textId="77777777" w:rsidR="00F81690" w:rsidRPr="00F81690" w:rsidRDefault="00F81690" w:rsidP="00F81690">
      <w:pPr>
        <w:pStyle w:val="Observation"/>
        <w:numPr>
          <w:ilvl w:val="0"/>
          <w:numId w:val="0"/>
        </w:numPr>
        <w:ind w:left="1701" w:hanging="1701"/>
        <w:rPr>
          <w:rStyle w:val="NOZchn"/>
        </w:rPr>
      </w:pPr>
    </w:p>
    <w:p w14:paraId="5BD19AFF" w14:textId="68AD3993" w:rsidR="00E47876" w:rsidRDefault="00E47876" w:rsidP="00632964">
      <w:pPr>
        <w:jc w:val="left"/>
      </w:pPr>
      <w:r>
        <w:lastRenderedPageBreak/>
        <w:t>In addition, from the satellite network operator standpoint, the dynamic and flexible</w:t>
      </w:r>
      <w:r w:rsidR="00FE24F0">
        <w:t xml:space="preserve"> power-</w:t>
      </w:r>
      <w:r w:rsidR="00423C98">
        <w:t>sharing is critical</w:t>
      </w:r>
      <w:r>
        <w:t xml:space="preserve"> to optimize the system capacity. If we go for preventing pre-Rel19 </w:t>
      </w:r>
      <w:r w:rsidR="00423C98">
        <w:t xml:space="preserve">UE </w:t>
      </w:r>
      <w:r>
        <w:t>connect</w:t>
      </w:r>
      <w:r w:rsidR="00423C98">
        <w:t>ing</w:t>
      </w:r>
      <w:r>
        <w:t xml:space="preserve"> to a cell that is operating in DL CE mode with extended SSB </w:t>
      </w:r>
      <w:r w:rsidR="001C616D">
        <w:t xml:space="preserve">periodicity, it means that a cell transitioning to DL CE mode for whatever operator decision will have to reject the pre-Rel19 UE that was accepted before. This would limit the interest </w:t>
      </w:r>
      <w:r w:rsidR="00423C98">
        <w:t>in</w:t>
      </w:r>
      <w:r w:rsidR="001C616D">
        <w:t xml:space="preserve"> the feature</w:t>
      </w:r>
      <w:r w:rsidR="00423C98">
        <w:t>, even if it is essential</w:t>
      </w:r>
      <w:r w:rsidR="001C616D">
        <w:t xml:space="preserve"> fo</w:t>
      </w:r>
      <w:r w:rsidR="00F81690">
        <w:t>r dynamic satellite deployment, so the management of Rel-19 DL CE cells and “legacy” cells is left to network implementation.</w:t>
      </w:r>
    </w:p>
    <w:p w14:paraId="5B883D61" w14:textId="0C9E932C" w:rsidR="00A440ED" w:rsidRDefault="00A440ED" w:rsidP="00423C98">
      <w:pPr>
        <w:pStyle w:val="Observation"/>
      </w:pPr>
      <w:r>
        <w:t>Up to the network to cope with compatibility issue</w:t>
      </w:r>
      <w:r w:rsidR="00FE24F0">
        <w:t>s</w:t>
      </w:r>
      <w:r>
        <w:t xml:space="preserve"> for legacy UEs</w:t>
      </w:r>
      <w:r w:rsidR="00F81690">
        <w:t xml:space="preserve"> when </w:t>
      </w:r>
      <w:r w:rsidR="00FE24F0">
        <w:t xml:space="preserve">the </w:t>
      </w:r>
      <w:r w:rsidR="00F81690">
        <w:t xml:space="preserve">cell operates with extended SSB periodicity </w:t>
      </w:r>
    </w:p>
    <w:p w14:paraId="1FBED27D" w14:textId="637A5F6C" w:rsidR="008E38DF" w:rsidRDefault="008E38DF" w:rsidP="008E38DF">
      <w:pPr>
        <w:pStyle w:val="Proposal"/>
      </w:pPr>
      <w:r>
        <w:t xml:space="preserve">A new barring procedure is not needed for a </w:t>
      </w:r>
      <w:r w:rsidR="00A5762C">
        <w:t xml:space="preserve">cell that is operating </w:t>
      </w:r>
      <w:r>
        <w:t>with extended SSB periodicity</w:t>
      </w:r>
    </w:p>
    <w:p w14:paraId="453909B2" w14:textId="35F70E31" w:rsidR="00632964" w:rsidRDefault="00632964" w:rsidP="00632964">
      <w:pPr>
        <w:jc w:val="left"/>
      </w:pPr>
    </w:p>
    <w:p w14:paraId="61E8320F" w14:textId="35EF3066" w:rsidR="001C616D" w:rsidRDefault="001C616D" w:rsidP="00632964">
      <w:pPr>
        <w:jc w:val="left"/>
      </w:pPr>
      <w:r>
        <w:t xml:space="preserve">For the second question, </w:t>
      </w:r>
      <w:r w:rsidR="001613CD">
        <w:t xml:space="preserve">the WID objective does not precise a need for backward compatibility for link level enhancements (i.e. PDCCH and </w:t>
      </w:r>
      <w:r w:rsidR="00F81690">
        <w:t xml:space="preserve">PDSCH). RAN1 still discuss the link level aspects for DL CE and possible backward compatibility. </w:t>
      </w:r>
      <w:r w:rsidR="00FE24F0">
        <w:t>The conclusion may be</w:t>
      </w:r>
      <w:r w:rsidR="00F81690">
        <w:t xml:space="preserve"> to rely on UE capabilities as for uplink coverage enhancements in Rel-19. </w:t>
      </w:r>
      <w:r w:rsidR="0078628B">
        <w:t>However, this discussion can be postpone</w:t>
      </w:r>
      <w:r w:rsidR="00423C98">
        <w:t>d</w:t>
      </w:r>
      <w:r w:rsidR="0078628B">
        <w:t xml:space="preserve"> until the RAN1 conclusion on </w:t>
      </w:r>
      <w:r w:rsidR="00FE24F0">
        <w:t xml:space="preserve">the </w:t>
      </w:r>
      <w:r w:rsidR="0078628B">
        <w:t>feature</w:t>
      </w:r>
      <w:r w:rsidR="00FE24F0">
        <w:t>s</w:t>
      </w:r>
      <w:r w:rsidR="0078628B">
        <w:t xml:space="preserve"> list.</w:t>
      </w:r>
    </w:p>
    <w:p w14:paraId="13789861" w14:textId="23D19E4D" w:rsidR="008E38DF" w:rsidRDefault="008E38DF" w:rsidP="008E38DF">
      <w:pPr>
        <w:pStyle w:val="Proposal"/>
      </w:pPr>
      <w:r>
        <w:t>Postpone the discussion on DL CE cell barring to RAN1 conclu</w:t>
      </w:r>
      <w:r w:rsidR="0070263F">
        <w:t>sion</w:t>
      </w:r>
      <w:r>
        <w:t xml:space="preserve"> on link level enhancements if the backward compatibility with pre-Rel19 UEs cannot be ensured</w:t>
      </w:r>
    </w:p>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7E08B161" w14:textId="0E7501E2" w:rsidR="008E065E" w:rsidRDefault="008E065E" w:rsidP="008E065E">
      <w:pPr>
        <w:pStyle w:val="BodyText"/>
        <w:rPr>
          <w:b/>
          <w:bCs/>
        </w:rPr>
      </w:pPr>
      <w:r w:rsidRPr="00264B7E">
        <w:t xml:space="preserve">In </w:t>
      </w:r>
      <w:r w:rsidR="007729A2" w:rsidRPr="00264B7E">
        <w:t>th</w:t>
      </w:r>
      <w:r w:rsidR="00FE24F0">
        <w:t xml:space="preserve">i contribution, </w:t>
      </w:r>
      <w:r w:rsidRPr="00264B7E">
        <w:t>we made the following observations</w:t>
      </w:r>
      <w:r w:rsidR="0033090B">
        <w:t xml:space="preserve"> and proposals</w:t>
      </w:r>
      <w:r w:rsidRPr="00264B7E">
        <w:t>:</w:t>
      </w:r>
    </w:p>
    <w:p w14:paraId="019D623B" w14:textId="3F2EF9EA" w:rsidR="008E065E" w:rsidRDefault="004868A8" w:rsidP="008E065E">
      <w:pPr>
        <w:rPr>
          <w:bCs/>
          <w:i/>
        </w:rPr>
      </w:pPr>
      <w:r>
        <w:rPr>
          <w:bCs/>
          <w:i/>
        </w:rPr>
        <w:t>&lt;</w:t>
      </w:r>
      <w:r w:rsidR="001335E2">
        <w:rPr>
          <w:bCs/>
          <w:i/>
        </w:rPr>
        <w:t>Cell barring</w:t>
      </w:r>
      <w:r>
        <w:rPr>
          <w:bCs/>
          <w:i/>
        </w:rPr>
        <w:t>&gt;</w:t>
      </w:r>
    </w:p>
    <w:p w14:paraId="1BC8C4DD" w14:textId="04C4F09E" w:rsidR="00EA7AD5" w:rsidRDefault="00EA7AD5" w:rsidP="004B63A3">
      <w:pPr>
        <w:pStyle w:val="Observation"/>
        <w:numPr>
          <w:ilvl w:val="0"/>
          <w:numId w:val="16"/>
        </w:numPr>
      </w:pPr>
      <w:r>
        <w:t>The Rel-19 Downlink Coverage Enhancement feature includes two parts: a system-level (i.e. e</w:t>
      </w:r>
      <w:r w:rsidR="00FE24F0">
        <w:t>xtens</w:t>
      </w:r>
      <w:r>
        <w:t xml:space="preserve">ion of the SSB periodicity) enhancement part and a </w:t>
      </w:r>
      <w:r w:rsidR="00FE24F0">
        <w:t>link-</w:t>
      </w:r>
      <w:r>
        <w:t>level (i.e. PDCCH and PDSCH) enhancements part.</w:t>
      </w:r>
    </w:p>
    <w:p w14:paraId="22818F3E" w14:textId="12DC1EDD" w:rsidR="00EA7AD5" w:rsidRDefault="00EA7AD5" w:rsidP="004B63A3">
      <w:pPr>
        <w:pStyle w:val="Observation"/>
        <w:numPr>
          <w:ilvl w:val="0"/>
          <w:numId w:val="16"/>
        </w:numPr>
      </w:pPr>
      <w:r>
        <w:t xml:space="preserve">The SSB periodicity up to 160 ms is already supported in the specifications for Connected UE </w:t>
      </w:r>
      <w:r w:rsidR="008A7A03">
        <w:t xml:space="preserve">in a secondary cell, </w:t>
      </w:r>
      <w:r>
        <w:t>but not for initial access cell</w:t>
      </w:r>
    </w:p>
    <w:p w14:paraId="7AC295F8" w14:textId="77777777" w:rsidR="00EA7AD5" w:rsidRDefault="00EA7AD5" w:rsidP="004B63A3">
      <w:pPr>
        <w:pStyle w:val="Observation"/>
        <w:numPr>
          <w:ilvl w:val="0"/>
          <w:numId w:val="16"/>
        </w:numPr>
      </w:pPr>
      <w:r>
        <w:t>Based on RAN1 observation, legacy UEs may not be able to camp on Rel-19 cell with extended SSB periodicity</w:t>
      </w:r>
    </w:p>
    <w:p w14:paraId="1A6CD651" w14:textId="77777777" w:rsidR="00EA7AD5" w:rsidRDefault="00EA7AD5" w:rsidP="004B63A3">
      <w:pPr>
        <w:pStyle w:val="Observation"/>
        <w:numPr>
          <w:ilvl w:val="0"/>
          <w:numId w:val="16"/>
        </w:numPr>
      </w:pPr>
      <w:r>
        <w:t>If a UE is not able to decode SIB1 in a cell with extended periodicity, therefore even if cell barring is defined, the UE will not be able to decode it</w:t>
      </w:r>
    </w:p>
    <w:p w14:paraId="773DE0D5" w14:textId="125A5002" w:rsidR="00EA7AD5" w:rsidRDefault="00EA7AD5" w:rsidP="004B63A3">
      <w:pPr>
        <w:pStyle w:val="Observation"/>
        <w:numPr>
          <w:ilvl w:val="0"/>
          <w:numId w:val="16"/>
        </w:numPr>
      </w:pPr>
      <w:r>
        <w:t>Up to the network to cope with compatibility issue</w:t>
      </w:r>
      <w:r w:rsidR="008A7A03">
        <w:t>s</w:t>
      </w:r>
      <w:r>
        <w:t xml:space="preserve"> for legacy UEs when cell operates with extended SSB periodicity </w:t>
      </w:r>
    </w:p>
    <w:p w14:paraId="6C3C6D44" w14:textId="77777777" w:rsidR="00EA7AD5" w:rsidRDefault="00EA7AD5" w:rsidP="004B63A3">
      <w:pPr>
        <w:pStyle w:val="Proposal"/>
        <w:numPr>
          <w:ilvl w:val="0"/>
          <w:numId w:val="17"/>
        </w:numPr>
      </w:pPr>
      <w:r>
        <w:t>A new barring procedure is not needed for a cell that is operating with extended SSB periodicity</w:t>
      </w:r>
    </w:p>
    <w:p w14:paraId="053BF8F7" w14:textId="352326D1" w:rsidR="00EA7AD5" w:rsidRDefault="00EA7AD5" w:rsidP="004B63A3">
      <w:pPr>
        <w:pStyle w:val="Proposal"/>
        <w:numPr>
          <w:ilvl w:val="0"/>
          <w:numId w:val="17"/>
        </w:numPr>
      </w:pPr>
      <w:r>
        <w:t>Postpone the discussion on DL CE cell barring to RAN1 conclu</w:t>
      </w:r>
      <w:r w:rsidR="0070263F">
        <w:t>sion</w:t>
      </w:r>
      <w:r>
        <w:t xml:space="preserve"> on link level enhancements if the backward compatibility with pre-Rel19 UEs cannot be ensured</w:t>
      </w:r>
    </w:p>
    <w:p w14:paraId="6DF78A1C" w14:textId="6A53E42F" w:rsidR="004868A8" w:rsidRPr="004868A8" w:rsidRDefault="004868A8" w:rsidP="008E065E">
      <w:pPr>
        <w:rPr>
          <w:bCs/>
          <w:i/>
        </w:rPr>
      </w:pPr>
    </w:p>
    <w:p w14:paraId="7BD5CFC3" w14:textId="77777777" w:rsidR="00F507D1" w:rsidRPr="00264B7E" w:rsidRDefault="00F507D1" w:rsidP="00CE0424">
      <w:pPr>
        <w:pStyle w:val="Heading1"/>
        <w:rPr>
          <w:lang w:val="en-US"/>
        </w:rPr>
      </w:pPr>
      <w:bookmarkStart w:id="3" w:name="_In-sequence_SDU_delivery"/>
      <w:bookmarkEnd w:id="3"/>
      <w:r w:rsidRPr="00264B7E">
        <w:rPr>
          <w:lang w:val="en-US"/>
        </w:rPr>
        <w:t>References</w:t>
      </w:r>
    </w:p>
    <w:p w14:paraId="20A72A3C" w14:textId="53C0CD4D" w:rsidR="00E16231" w:rsidRDefault="006F2034" w:rsidP="003227A2">
      <w:pPr>
        <w:pStyle w:val="Reference"/>
      </w:pPr>
      <w:bookmarkStart w:id="4" w:name="_Ref174151459"/>
      <w:bookmarkStart w:id="5" w:name="_Ref189809556"/>
      <w:r w:rsidRPr="00264B7E">
        <w:t>R</w:t>
      </w:r>
      <w:r w:rsidR="003227A2">
        <w:t>P-243300</w:t>
      </w:r>
      <w:r w:rsidRPr="00264B7E">
        <w:t xml:space="preserve">, </w:t>
      </w:r>
      <w:r w:rsidR="003227A2" w:rsidRPr="003227A2">
        <w:t>Revised WID: Non-Terrestrial Networks (NTN) for NR Phase 3</w:t>
      </w:r>
      <w:r w:rsidRPr="00264B7E">
        <w:t xml:space="preserve">, </w:t>
      </w:r>
      <w:r w:rsidR="003227A2">
        <w:t>RAN#106, 2024-12</w:t>
      </w:r>
      <w:r w:rsidRPr="00264B7E">
        <w:t xml:space="preserve">, </w:t>
      </w:r>
      <w:r w:rsidR="003227A2">
        <w:t>Madrid, ES</w:t>
      </w:r>
      <w:r w:rsidRPr="00264B7E">
        <w:t>.</w:t>
      </w:r>
      <w:bookmarkEnd w:id="4"/>
      <w:bookmarkEnd w:id="5"/>
    </w:p>
    <w:p w14:paraId="2690D266" w14:textId="5F3F9C79" w:rsidR="004E387B" w:rsidRDefault="00632964" w:rsidP="00632964">
      <w:pPr>
        <w:pStyle w:val="Reference"/>
      </w:pPr>
      <w:r>
        <w:t>R2-</w:t>
      </w:r>
      <w:r w:rsidRPr="00632964">
        <w:t>2501333</w:t>
      </w:r>
      <w:r>
        <w:t xml:space="preserve">, </w:t>
      </w:r>
      <w:r w:rsidRPr="00632964">
        <w:t>Report from Break-out session on NR-NTN and IoT-NTN</w:t>
      </w:r>
      <w:r>
        <w:t>, RAN2#129, 2025-02, Athens, GR.</w:t>
      </w:r>
    </w:p>
    <w:p w14:paraId="2662C0AD" w14:textId="5A775126" w:rsidR="002E0E7D" w:rsidRPr="00A15140" w:rsidRDefault="002E0E7D" w:rsidP="00632964">
      <w:pPr>
        <w:pStyle w:val="Reference"/>
      </w:pPr>
      <w:r>
        <w:t>3GPP TS 38.331 “5G; NR; Radio Resource Control (RRC); Protocol specification”, Rel-18.</w:t>
      </w:r>
    </w:p>
    <w:sectPr w:rsidR="002E0E7D" w:rsidRPr="00A1514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0BFA9" w14:textId="77777777" w:rsidR="004B63A3" w:rsidRDefault="004B63A3">
      <w:r>
        <w:separator/>
      </w:r>
    </w:p>
  </w:endnote>
  <w:endnote w:type="continuationSeparator" w:id="0">
    <w:p w14:paraId="6B5C544A" w14:textId="77777777" w:rsidR="004B63A3" w:rsidRDefault="004B63A3">
      <w:r>
        <w:continuationSeparator/>
      </w:r>
    </w:p>
  </w:endnote>
  <w:endnote w:type="continuationNotice" w:id="1">
    <w:p w14:paraId="239D7C21" w14:textId="77777777" w:rsidR="004B63A3" w:rsidRDefault="004B6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469ED0A4" w:rsidR="00B422A9" w:rsidRDefault="00B422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5071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071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3AB57" w14:textId="77777777" w:rsidR="004B63A3" w:rsidRDefault="004B63A3">
      <w:r>
        <w:separator/>
      </w:r>
    </w:p>
  </w:footnote>
  <w:footnote w:type="continuationSeparator" w:id="0">
    <w:p w14:paraId="2E1D9CE4" w14:textId="77777777" w:rsidR="004B63A3" w:rsidRDefault="004B63A3">
      <w:r>
        <w:continuationSeparator/>
      </w:r>
    </w:p>
  </w:footnote>
  <w:footnote w:type="continuationNotice" w:id="1">
    <w:p w14:paraId="6BB9FC3B" w14:textId="77777777" w:rsidR="004B63A3" w:rsidRDefault="004B63A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B422A9" w:rsidRDefault="00B422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A61640E4"/>
    <w:lvl w:ilvl="0" w:tplc="DD92D9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F4BA230E"/>
    <w:lvl w:ilvl="0" w:tplc="49188F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E597D7E"/>
    <w:multiLevelType w:val="hybridMultilevel"/>
    <w:tmpl w:val="356E2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8"/>
  </w:num>
  <w:num w:numId="4">
    <w:abstractNumId w:val="9"/>
  </w:num>
  <w:num w:numId="5">
    <w:abstractNumId w:val="10"/>
  </w:num>
  <w:num w:numId="6">
    <w:abstractNumId w:val="2"/>
  </w:num>
  <w:num w:numId="7">
    <w:abstractNumId w:val="3"/>
  </w:num>
  <w:num w:numId="8">
    <w:abstractNumId w:val="1"/>
  </w:num>
  <w:num w:numId="9">
    <w:abstractNumId w:val="13"/>
  </w:num>
  <w:num w:numId="10">
    <w:abstractNumId w:val="5"/>
  </w:num>
  <w:num w:numId="11">
    <w:abstractNumId w:val="11"/>
  </w:num>
  <w:num w:numId="12">
    <w:abstractNumId w:val="4"/>
  </w:num>
  <w:num w:numId="13">
    <w:abstractNumId w:val="6"/>
  </w:num>
  <w:num w:numId="14">
    <w:abstractNumId w:val="12"/>
  </w:num>
  <w:num w:numId="15">
    <w:abstractNumId w:val="14"/>
  </w:num>
  <w:num w:numId="16">
    <w:abstractNumId w:val="8"/>
    <w:lvlOverride w:ilvl="0">
      <w:startOverride w:val="1"/>
    </w:lvlOverride>
  </w:num>
  <w:num w:numId="17">
    <w:abstractNumId w:val="6"/>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s-ES" w:vendorID="64" w:dllVersion="131078" w:nlCheck="1" w:checkStyle="0"/>
  <w:activeWritingStyle w:appName="MSWord" w:lang="it-IT"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2A37"/>
    <w:rsid w:val="0000564C"/>
    <w:rsid w:val="00006446"/>
    <w:rsid w:val="00006896"/>
    <w:rsid w:val="00007CDC"/>
    <w:rsid w:val="00007D48"/>
    <w:rsid w:val="00011B28"/>
    <w:rsid w:val="00011E3E"/>
    <w:rsid w:val="00015D15"/>
    <w:rsid w:val="00016632"/>
    <w:rsid w:val="0002564D"/>
    <w:rsid w:val="00025ECA"/>
    <w:rsid w:val="000325B8"/>
    <w:rsid w:val="00034C15"/>
    <w:rsid w:val="00036BA1"/>
    <w:rsid w:val="00036FEA"/>
    <w:rsid w:val="000422E2"/>
    <w:rsid w:val="00042F22"/>
    <w:rsid w:val="000444EF"/>
    <w:rsid w:val="00051E08"/>
    <w:rsid w:val="00052A07"/>
    <w:rsid w:val="000534E3"/>
    <w:rsid w:val="0005606A"/>
    <w:rsid w:val="00057117"/>
    <w:rsid w:val="000616E7"/>
    <w:rsid w:val="0006487E"/>
    <w:rsid w:val="00065E1A"/>
    <w:rsid w:val="00077E5F"/>
    <w:rsid w:val="00080313"/>
    <w:rsid w:val="0008036A"/>
    <w:rsid w:val="00081AE6"/>
    <w:rsid w:val="000855EB"/>
    <w:rsid w:val="00085B52"/>
    <w:rsid w:val="000866F2"/>
    <w:rsid w:val="0009009F"/>
    <w:rsid w:val="00091557"/>
    <w:rsid w:val="000924C1"/>
    <w:rsid w:val="000924F0"/>
    <w:rsid w:val="00093474"/>
    <w:rsid w:val="00093C82"/>
    <w:rsid w:val="00094872"/>
    <w:rsid w:val="0009510F"/>
    <w:rsid w:val="000A1B7B"/>
    <w:rsid w:val="000A56F2"/>
    <w:rsid w:val="000B2719"/>
    <w:rsid w:val="000B3A8F"/>
    <w:rsid w:val="000B4AB9"/>
    <w:rsid w:val="000B58C3"/>
    <w:rsid w:val="000B61E9"/>
    <w:rsid w:val="000C165A"/>
    <w:rsid w:val="000C2E19"/>
    <w:rsid w:val="000C4FC0"/>
    <w:rsid w:val="000C55AD"/>
    <w:rsid w:val="000D0D07"/>
    <w:rsid w:val="000D4797"/>
    <w:rsid w:val="000D5103"/>
    <w:rsid w:val="000E0527"/>
    <w:rsid w:val="000E1E92"/>
    <w:rsid w:val="000F06D6"/>
    <w:rsid w:val="000F0EB1"/>
    <w:rsid w:val="000F1106"/>
    <w:rsid w:val="000F3BE9"/>
    <w:rsid w:val="000F3F6C"/>
    <w:rsid w:val="000F6DF3"/>
    <w:rsid w:val="001005FF"/>
    <w:rsid w:val="001037C6"/>
    <w:rsid w:val="001062FB"/>
    <w:rsid w:val="001063E6"/>
    <w:rsid w:val="00113CF4"/>
    <w:rsid w:val="001153EA"/>
    <w:rsid w:val="00115643"/>
    <w:rsid w:val="00116765"/>
    <w:rsid w:val="001219F5"/>
    <w:rsid w:val="00121A20"/>
    <w:rsid w:val="0012377F"/>
    <w:rsid w:val="00124314"/>
    <w:rsid w:val="00125910"/>
    <w:rsid w:val="00126B4A"/>
    <w:rsid w:val="00132FD0"/>
    <w:rsid w:val="001335E2"/>
    <w:rsid w:val="001344C0"/>
    <w:rsid w:val="001346FA"/>
    <w:rsid w:val="00134E40"/>
    <w:rsid w:val="00135252"/>
    <w:rsid w:val="00137AB5"/>
    <w:rsid w:val="00137F0B"/>
    <w:rsid w:val="00140D59"/>
    <w:rsid w:val="001413FF"/>
    <w:rsid w:val="00151E23"/>
    <w:rsid w:val="001526E0"/>
    <w:rsid w:val="001551B5"/>
    <w:rsid w:val="00160157"/>
    <w:rsid w:val="001613CD"/>
    <w:rsid w:val="00161CFA"/>
    <w:rsid w:val="001659C1"/>
    <w:rsid w:val="00173A8E"/>
    <w:rsid w:val="0017502C"/>
    <w:rsid w:val="0017647F"/>
    <w:rsid w:val="0018143F"/>
    <w:rsid w:val="00181FF8"/>
    <w:rsid w:val="00190AC1"/>
    <w:rsid w:val="0019341A"/>
    <w:rsid w:val="00197DF9"/>
    <w:rsid w:val="001A1165"/>
    <w:rsid w:val="001A1987"/>
    <w:rsid w:val="001A2564"/>
    <w:rsid w:val="001A6173"/>
    <w:rsid w:val="001A6CBA"/>
    <w:rsid w:val="001A7E92"/>
    <w:rsid w:val="001B0D97"/>
    <w:rsid w:val="001B5A5D"/>
    <w:rsid w:val="001C1CE5"/>
    <w:rsid w:val="001C3D2A"/>
    <w:rsid w:val="001C5CB8"/>
    <w:rsid w:val="001C616D"/>
    <w:rsid w:val="001D51BA"/>
    <w:rsid w:val="001D53E7"/>
    <w:rsid w:val="001D6342"/>
    <w:rsid w:val="001D6C45"/>
    <w:rsid w:val="001D6D53"/>
    <w:rsid w:val="001E58E2"/>
    <w:rsid w:val="001E7AED"/>
    <w:rsid w:val="001F3916"/>
    <w:rsid w:val="001F54C5"/>
    <w:rsid w:val="001F662C"/>
    <w:rsid w:val="001F7074"/>
    <w:rsid w:val="00200490"/>
    <w:rsid w:val="0020082D"/>
    <w:rsid w:val="00201219"/>
    <w:rsid w:val="00201F3A"/>
    <w:rsid w:val="00203F96"/>
    <w:rsid w:val="0020497F"/>
    <w:rsid w:val="0020582B"/>
    <w:rsid w:val="002069B2"/>
    <w:rsid w:val="00207E9A"/>
    <w:rsid w:val="00207FA3"/>
    <w:rsid w:val="00214DA8"/>
    <w:rsid w:val="00215423"/>
    <w:rsid w:val="002158FA"/>
    <w:rsid w:val="00220600"/>
    <w:rsid w:val="002224DB"/>
    <w:rsid w:val="00223FCB"/>
    <w:rsid w:val="002252C3"/>
    <w:rsid w:val="00225C54"/>
    <w:rsid w:val="00230765"/>
    <w:rsid w:val="00230D18"/>
    <w:rsid w:val="002319E4"/>
    <w:rsid w:val="00233F1E"/>
    <w:rsid w:val="00235632"/>
    <w:rsid w:val="00235872"/>
    <w:rsid w:val="00241559"/>
    <w:rsid w:val="002435B3"/>
    <w:rsid w:val="00244E80"/>
    <w:rsid w:val="002458EB"/>
    <w:rsid w:val="002500C8"/>
    <w:rsid w:val="00257543"/>
    <w:rsid w:val="002617E7"/>
    <w:rsid w:val="00264228"/>
    <w:rsid w:val="00264334"/>
    <w:rsid w:val="0026473E"/>
    <w:rsid w:val="00264B7E"/>
    <w:rsid w:val="00266214"/>
    <w:rsid w:val="00267C83"/>
    <w:rsid w:val="0027144F"/>
    <w:rsid w:val="00271813"/>
    <w:rsid w:val="00271F3A"/>
    <w:rsid w:val="00273278"/>
    <w:rsid w:val="002737F4"/>
    <w:rsid w:val="002805F5"/>
    <w:rsid w:val="00280751"/>
    <w:rsid w:val="00280D85"/>
    <w:rsid w:val="002819AA"/>
    <w:rsid w:val="0028280A"/>
    <w:rsid w:val="002841A6"/>
    <w:rsid w:val="00286ACD"/>
    <w:rsid w:val="00287838"/>
    <w:rsid w:val="002907B5"/>
    <w:rsid w:val="002911F7"/>
    <w:rsid w:val="00292A82"/>
    <w:rsid w:val="00292EB7"/>
    <w:rsid w:val="0029504F"/>
    <w:rsid w:val="00296227"/>
    <w:rsid w:val="00296F44"/>
    <w:rsid w:val="0029777D"/>
    <w:rsid w:val="00297C72"/>
    <w:rsid w:val="002A055E"/>
    <w:rsid w:val="002A1D4E"/>
    <w:rsid w:val="002A2869"/>
    <w:rsid w:val="002B24D6"/>
    <w:rsid w:val="002B3379"/>
    <w:rsid w:val="002B37A2"/>
    <w:rsid w:val="002B7730"/>
    <w:rsid w:val="002C41E6"/>
    <w:rsid w:val="002C66F9"/>
    <w:rsid w:val="002D071A"/>
    <w:rsid w:val="002D34B2"/>
    <w:rsid w:val="002D48B0"/>
    <w:rsid w:val="002D5B37"/>
    <w:rsid w:val="002D7637"/>
    <w:rsid w:val="002E0E7D"/>
    <w:rsid w:val="002E17F2"/>
    <w:rsid w:val="002E550A"/>
    <w:rsid w:val="002E5726"/>
    <w:rsid w:val="002E7CAE"/>
    <w:rsid w:val="002F2771"/>
    <w:rsid w:val="002F37A9"/>
    <w:rsid w:val="002F508B"/>
    <w:rsid w:val="002F64D7"/>
    <w:rsid w:val="002F7E53"/>
    <w:rsid w:val="00301CE6"/>
    <w:rsid w:val="0030256B"/>
    <w:rsid w:val="0030501F"/>
    <w:rsid w:val="00305C4E"/>
    <w:rsid w:val="00307BA1"/>
    <w:rsid w:val="00311702"/>
    <w:rsid w:val="00311E82"/>
    <w:rsid w:val="00313FD6"/>
    <w:rsid w:val="003143BD"/>
    <w:rsid w:val="00315363"/>
    <w:rsid w:val="00316DA7"/>
    <w:rsid w:val="003173F5"/>
    <w:rsid w:val="003203ED"/>
    <w:rsid w:val="003227A2"/>
    <w:rsid w:val="00322C9F"/>
    <w:rsid w:val="00324D23"/>
    <w:rsid w:val="003267B7"/>
    <w:rsid w:val="0033090B"/>
    <w:rsid w:val="00331751"/>
    <w:rsid w:val="00334066"/>
    <w:rsid w:val="00334579"/>
    <w:rsid w:val="00335858"/>
    <w:rsid w:val="00336BDA"/>
    <w:rsid w:val="00340023"/>
    <w:rsid w:val="00342BD7"/>
    <w:rsid w:val="003450BF"/>
    <w:rsid w:val="00345FE5"/>
    <w:rsid w:val="00346DB5"/>
    <w:rsid w:val="003477B1"/>
    <w:rsid w:val="00355902"/>
    <w:rsid w:val="00357380"/>
    <w:rsid w:val="003602D9"/>
    <w:rsid w:val="003604CE"/>
    <w:rsid w:val="0036138C"/>
    <w:rsid w:val="00370E47"/>
    <w:rsid w:val="0037172B"/>
    <w:rsid w:val="00373D2C"/>
    <w:rsid w:val="003742AC"/>
    <w:rsid w:val="00377553"/>
    <w:rsid w:val="00377CE1"/>
    <w:rsid w:val="0038114C"/>
    <w:rsid w:val="00385BF0"/>
    <w:rsid w:val="00387186"/>
    <w:rsid w:val="003939FF"/>
    <w:rsid w:val="003A11C2"/>
    <w:rsid w:val="003A2223"/>
    <w:rsid w:val="003A2A0F"/>
    <w:rsid w:val="003A45A1"/>
    <w:rsid w:val="003A5B0A"/>
    <w:rsid w:val="003A5B48"/>
    <w:rsid w:val="003A6BAC"/>
    <w:rsid w:val="003A70A4"/>
    <w:rsid w:val="003A7EF3"/>
    <w:rsid w:val="003B159C"/>
    <w:rsid w:val="003B369F"/>
    <w:rsid w:val="003B36A3"/>
    <w:rsid w:val="003B64BB"/>
    <w:rsid w:val="003B7FE5"/>
    <w:rsid w:val="003C02FD"/>
    <w:rsid w:val="003C11C8"/>
    <w:rsid w:val="003C2702"/>
    <w:rsid w:val="003C7806"/>
    <w:rsid w:val="003D109F"/>
    <w:rsid w:val="003D2478"/>
    <w:rsid w:val="003D3C45"/>
    <w:rsid w:val="003D5B1F"/>
    <w:rsid w:val="003E15FA"/>
    <w:rsid w:val="003E3AA3"/>
    <w:rsid w:val="003E55E4"/>
    <w:rsid w:val="003E74E3"/>
    <w:rsid w:val="003F05C7"/>
    <w:rsid w:val="003F2CD4"/>
    <w:rsid w:val="003F6BBE"/>
    <w:rsid w:val="004000E8"/>
    <w:rsid w:val="00400439"/>
    <w:rsid w:val="00402E2B"/>
    <w:rsid w:val="0040512B"/>
    <w:rsid w:val="00405CA5"/>
    <w:rsid w:val="00407CD3"/>
    <w:rsid w:val="00410134"/>
    <w:rsid w:val="00410B72"/>
    <w:rsid w:val="00410F18"/>
    <w:rsid w:val="0041263E"/>
    <w:rsid w:val="00413AAC"/>
    <w:rsid w:val="00413E92"/>
    <w:rsid w:val="00420370"/>
    <w:rsid w:val="00421105"/>
    <w:rsid w:val="00422AA4"/>
    <w:rsid w:val="00423C98"/>
    <w:rsid w:val="004242F4"/>
    <w:rsid w:val="00427248"/>
    <w:rsid w:val="0043624B"/>
    <w:rsid w:val="00437447"/>
    <w:rsid w:val="00437D66"/>
    <w:rsid w:val="00441A92"/>
    <w:rsid w:val="004431DC"/>
    <w:rsid w:val="00444F56"/>
    <w:rsid w:val="00446488"/>
    <w:rsid w:val="004517AA"/>
    <w:rsid w:val="00452CAC"/>
    <w:rsid w:val="00452F0C"/>
    <w:rsid w:val="00453D9F"/>
    <w:rsid w:val="00456CFE"/>
    <w:rsid w:val="00457565"/>
    <w:rsid w:val="00457B71"/>
    <w:rsid w:val="004669E2"/>
    <w:rsid w:val="00470C31"/>
    <w:rsid w:val="00471DE0"/>
    <w:rsid w:val="00472B41"/>
    <w:rsid w:val="004734D0"/>
    <w:rsid w:val="0047556B"/>
    <w:rsid w:val="00477768"/>
    <w:rsid w:val="00482004"/>
    <w:rsid w:val="00484500"/>
    <w:rsid w:val="004868A8"/>
    <w:rsid w:val="00492BC5"/>
    <w:rsid w:val="004964F1"/>
    <w:rsid w:val="004A16BC"/>
    <w:rsid w:val="004A2B94"/>
    <w:rsid w:val="004A4B33"/>
    <w:rsid w:val="004A5907"/>
    <w:rsid w:val="004B1D5E"/>
    <w:rsid w:val="004B2559"/>
    <w:rsid w:val="004B49EF"/>
    <w:rsid w:val="004B63A3"/>
    <w:rsid w:val="004B6F6A"/>
    <w:rsid w:val="004B7C0C"/>
    <w:rsid w:val="004C1151"/>
    <w:rsid w:val="004C3898"/>
    <w:rsid w:val="004C6842"/>
    <w:rsid w:val="004D33CA"/>
    <w:rsid w:val="004D36B1"/>
    <w:rsid w:val="004D7EBD"/>
    <w:rsid w:val="004E2680"/>
    <w:rsid w:val="004E28F9"/>
    <w:rsid w:val="004E387B"/>
    <w:rsid w:val="004E462E"/>
    <w:rsid w:val="004E56DC"/>
    <w:rsid w:val="004E76F4"/>
    <w:rsid w:val="004F0B4E"/>
    <w:rsid w:val="004F0B6C"/>
    <w:rsid w:val="004F2078"/>
    <w:rsid w:val="004F4DA3"/>
    <w:rsid w:val="00500F7F"/>
    <w:rsid w:val="00506557"/>
    <w:rsid w:val="0050677A"/>
    <w:rsid w:val="0050778A"/>
    <w:rsid w:val="005108D8"/>
    <w:rsid w:val="005116F9"/>
    <w:rsid w:val="005153A7"/>
    <w:rsid w:val="005219CF"/>
    <w:rsid w:val="00523E8F"/>
    <w:rsid w:val="00526F7F"/>
    <w:rsid w:val="005338C5"/>
    <w:rsid w:val="00534B59"/>
    <w:rsid w:val="0053662A"/>
    <w:rsid w:val="00536759"/>
    <w:rsid w:val="00537C62"/>
    <w:rsid w:val="005442EF"/>
    <w:rsid w:val="00546970"/>
    <w:rsid w:val="00547494"/>
    <w:rsid w:val="00554E19"/>
    <w:rsid w:val="0056121F"/>
    <w:rsid w:val="00562C19"/>
    <w:rsid w:val="00572505"/>
    <w:rsid w:val="005761DC"/>
    <w:rsid w:val="00582809"/>
    <w:rsid w:val="0058798C"/>
    <w:rsid w:val="005900FA"/>
    <w:rsid w:val="005935A4"/>
    <w:rsid w:val="005948C2"/>
    <w:rsid w:val="00595DCA"/>
    <w:rsid w:val="0059779B"/>
    <w:rsid w:val="005A209A"/>
    <w:rsid w:val="005A4D02"/>
    <w:rsid w:val="005A662D"/>
    <w:rsid w:val="005B1409"/>
    <w:rsid w:val="005B35D7"/>
    <w:rsid w:val="005B392A"/>
    <w:rsid w:val="005B3AA3"/>
    <w:rsid w:val="005B6F83"/>
    <w:rsid w:val="005C74FB"/>
    <w:rsid w:val="005D0E32"/>
    <w:rsid w:val="005D1602"/>
    <w:rsid w:val="005D2381"/>
    <w:rsid w:val="005E385F"/>
    <w:rsid w:val="005E5B81"/>
    <w:rsid w:val="005F2CB1"/>
    <w:rsid w:val="005F3025"/>
    <w:rsid w:val="005F618C"/>
    <w:rsid w:val="005F70BD"/>
    <w:rsid w:val="00600705"/>
    <w:rsid w:val="0060283C"/>
    <w:rsid w:val="00604F14"/>
    <w:rsid w:val="00611B83"/>
    <w:rsid w:val="00613257"/>
    <w:rsid w:val="00620A71"/>
    <w:rsid w:val="00620D80"/>
    <w:rsid w:val="006213FD"/>
    <w:rsid w:val="006234A6"/>
    <w:rsid w:val="00627A83"/>
    <w:rsid w:val="00630001"/>
    <w:rsid w:val="00630DE4"/>
    <w:rsid w:val="006311B3"/>
    <w:rsid w:val="0063284C"/>
    <w:rsid w:val="00632964"/>
    <w:rsid w:val="00636398"/>
    <w:rsid w:val="006368D3"/>
    <w:rsid w:val="006377EC"/>
    <w:rsid w:val="0064151F"/>
    <w:rsid w:val="00641533"/>
    <w:rsid w:val="0064208D"/>
    <w:rsid w:val="00643475"/>
    <w:rsid w:val="0064396A"/>
    <w:rsid w:val="00645AF8"/>
    <w:rsid w:val="0064624E"/>
    <w:rsid w:val="00650AB9"/>
    <w:rsid w:val="006534F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2C"/>
    <w:rsid w:val="006771F9"/>
    <w:rsid w:val="006776D7"/>
    <w:rsid w:val="00681003"/>
    <w:rsid w:val="006817C9"/>
    <w:rsid w:val="00683ECE"/>
    <w:rsid w:val="00694F78"/>
    <w:rsid w:val="00695FC2"/>
    <w:rsid w:val="00696949"/>
    <w:rsid w:val="00697052"/>
    <w:rsid w:val="006A18C4"/>
    <w:rsid w:val="006A46FB"/>
    <w:rsid w:val="006A5744"/>
    <w:rsid w:val="006A5C06"/>
    <w:rsid w:val="006A5E28"/>
    <w:rsid w:val="006A5FC1"/>
    <w:rsid w:val="006A697B"/>
    <w:rsid w:val="006A6B1A"/>
    <w:rsid w:val="006A7AFF"/>
    <w:rsid w:val="006B1816"/>
    <w:rsid w:val="006B2099"/>
    <w:rsid w:val="006B280D"/>
    <w:rsid w:val="006B50CF"/>
    <w:rsid w:val="006B5887"/>
    <w:rsid w:val="006B5F98"/>
    <w:rsid w:val="006B6A31"/>
    <w:rsid w:val="006C03B8"/>
    <w:rsid w:val="006C1DC1"/>
    <w:rsid w:val="006C3C3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034"/>
    <w:rsid w:val="006F341D"/>
    <w:rsid w:val="006F3CDE"/>
    <w:rsid w:val="006F58D4"/>
    <w:rsid w:val="006F6582"/>
    <w:rsid w:val="006F79B3"/>
    <w:rsid w:val="0070263F"/>
    <w:rsid w:val="00702913"/>
    <w:rsid w:val="0070346E"/>
    <w:rsid w:val="00704542"/>
    <w:rsid w:val="00704EDB"/>
    <w:rsid w:val="00706101"/>
    <w:rsid w:val="00707072"/>
    <w:rsid w:val="00707D61"/>
    <w:rsid w:val="0071025B"/>
    <w:rsid w:val="00712198"/>
    <w:rsid w:val="00712287"/>
    <w:rsid w:val="00712772"/>
    <w:rsid w:val="007148D3"/>
    <w:rsid w:val="00715B9A"/>
    <w:rsid w:val="00720A18"/>
    <w:rsid w:val="007223BF"/>
    <w:rsid w:val="007257D0"/>
    <w:rsid w:val="00726EA6"/>
    <w:rsid w:val="00727208"/>
    <w:rsid w:val="00727680"/>
    <w:rsid w:val="00732B7B"/>
    <w:rsid w:val="007348B1"/>
    <w:rsid w:val="007362A6"/>
    <w:rsid w:val="00736D7D"/>
    <w:rsid w:val="00740E58"/>
    <w:rsid w:val="007445A0"/>
    <w:rsid w:val="0074524B"/>
    <w:rsid w:val="00747D8B"/>
    <w:rsid w:val="00751228"/>
    <w:rsid w:val="00753B29"/>
    <w:rsid w:val="007558BC"/>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3E21"/>
    <w:rsid w:val="00785490"/>
    <w:rsid w:val="0078628B"/>
    <w:rsid w:val="007925EA"/>
    <w:rsid w:val="00793CD8"/>
    <w:rsid w:val="00795A1C"/>
    <w:rsid w:val="00795C92"/>
    <w:rsid w:val="00796231"/>
    <w:rsid w:val="0079799C"/>
    <w:rsid w:val="007A1CB3"/>
    <w:rsid w:val="007A306F"/>
    <w:rsid w:val="007A3648"/>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153"/>
    <w:rsid w:val="007E7091"/>
    <w:rsid w:val="00803FAE"/>
    <w:rsid w:val="0080605F"/>
    <w:rsid w:val="00807786"/>
    <w:rsid w:val="00811FCB"/>
    <w:rsid w:val="008129EB"/>
    <w:rsid w:val="008158D6"/>
    <w:rsid w:val="00817196"/>
    <w:rsid w:val="008235DB"/>
    <w:rsid w:val="00823EC1"/>
    <w:rsid w:val="00824AB4"/>
    <w:rsid w:val="00825C42"/>
    <w:rsid w:val="00825D25"/>
    <w:rsid w:val="00827D6F"/>
    <w:rsid w:val="00830FA7"/>
    <w:rsid w:val="0083493C"/>
    <w:rsid w:val="008376AC"/>
    <w:rsid w:val="008444E8"/>
    <w:rsid w:val="00844E80"/>
    <w:rsid w:val="00846BE6"/>
    <w:rsid w:val="00846FE7"/>
    <w:rsid w:val="00855C21"/>
    <w:rsid w:val="00856911"/>
    <w:rsid w:val="00863C42"/>
    <w:rsid w:val="008643EA"/>
    <w:rsid w:val="008677FD"/>
    <w:rsid w:val="008706D4"/>
    <w:rsid w:val="00870F8A"/>
    <w:rsid w:val="008719A4"/>
    <w:rsid w:val="00871D23"/>
    <w:rsid w:val="00874312"/>
    <w:rsid w:val="0087437C"/>
    <w:rsid w:val="00875CD7"/>
    <w:rsid w:val="00876B4D"/>
    <w:rsid w:val="00877F18"/>
    <w:rsid w:val="008809D2"/>
    <w:rsid w:val="0089159B"/>
    <w:rsid w:val="008941E3"/>
    <w:rsid w:val="00894A88"/>
    <w:rsid w:val="00895386"/>
    <w:rsid w:val="008975E1"/>
    <w:rsid w:val="008A21FF"/>
    <w:rsid w:val="008A2CE2"/>
    <w:rsid w:val="008A30AC"/>
    <w:rsid w:val="008A4466"/>
    <w:rsid w:val="008A44B8"/>
    <w:rsid w:val="008A51A8"/>
    <w:rsid w:val="008A54C7"/>
    <w:rsid w:val="008A77D8"/>
    <w:rsid w:val="008A7A03"/>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8DF"/>
    <w:rsid w:val="008E748B"/>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162"/>
    <w:rsid w:val="00922010"/>
    <w:rsid w:val="00922462"/>
    <w:rsid w:val="00924B33"/>
    <w:rsid w:val="00931BD9"/>
    <w:rsid w:val="009368F3"/>
    <w:rsid w:val="00937B32"/>
    <w:rsid w:val="00941636"/>
    <w:rsid w:val="00943742"/>
    <w:rsid w:val="00945C05"/>
    <w:rsid w:val="00945F26"/>
    <w:rsid w:val="00946945"/>
    <w:rsid w:val="00947713"/>
    <w:rsid w:val="00950DE7"/>
    <w:rsid w:val="00952423"/>
    <w:rsid w:val="00953920"/>
    <w:rsid w:val="00953D47"/>
    <w:rsid w:val="0095681E"/>
    <w:rsid w:val="009572D4"/>
    <w:rsid w:val="00960CD9"/>
    <w:rsid w:val="00961921"/>
    <w:rsid w:val="0096430A"/>
    <w:rsid w:val="0096554B"/>
    <w:rsid w:val="0096584A"/>
    <w:rsid w:val="0097014A"/>
    <w:rsid w:val="00971F08"/>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3BB6"/>
    <w:rsid w:val="009A462D"/>
    <w:rsid w:val="009A5CBA"/>
    <w:rsid w:val="009A6635"/>
    <w:rsid w:val="009A7842"/>
    <w:rsid w:val="009B1F30"/>
    <w:rsid w:val="009B2137"/>
    <w:rsid w:val="009B3AC2"/>
    <w:rsid w:val="009B4DF4"/>
    <w:rsid w:val="009B564E"/>
    <w:rsid w:val="009B5C28"/>
    <w:rsid w:val="009B7473"/>
    <w:rsid w:val="009B7E87"/>
    <w:rsid w:val="009C0169"/>
    <w:rsid w:val="009C403E"/>
    <w:rsid w:val="009C701A"/>
    <w:rsid w:val="009D226F"/>
    <w:rsid w:val="009D4F2B"/>
    <w:rsid w:val="009D4FF0"/>
    <w:rsid w:val="009D703C"/>
    <w:rsid w:val="009D718F"/>
    <w:rsid w:val="009E068F"/>
    <w:rsid w:val="009E14E0"/>
    <w:rsid w:val="009E35DB"/>
    <w:rsid w:val="009E47A3"/>
    <w:rsid w:val="009F08F3"/>
    <w:rsid w:val="009F344F"/>
    <w:rsid w:val="009F4AF8"/>
    <w:rsid w:val="00A02C98"/>
    <w:rsid w:val="00A03143"/>
    <w:rsid w:val="00A031D8"/>
    <w:rsid w:val="00A036E2"/>
    <w:rsid w:val="00A048A8"/>
    <w:rsid w:val="00A04F49"/>
    <w:rsid w:val="00A1362C"/>
    <w:rsid w:val="00A13E54"/>
    <w:rsid w:val="00A15140"/>
    <w:rsid w:val="00A17F63"/>
    <w:rsid w:val="00A2193B"/>
    <w:rsid w:val="00A2351A"/>
    <w:rsid w:val="00A264A9"/>
    <w:rsid w:val="00A26DCF"/>
    <w:rsid w:val="00A27785"/>
    <w:rsid w:val="00A30187"/>
    <w:rsid w:val="00A3448A"/>
    <w:rsid w:val="00A36297"/>
    <w:rsid w:val="00A41E2B"/>
    <w:rsid w:val="00A440ED"/>
    <w:rsid w:val="00A45B74"/>
    <w:rsid w:val="00A51954"/>
    <w:rsid w:val="00A52E1D"/>
    <w:rsid w:val="00A573F6"/>
    <w:rsid w:val="00A5762C"/>
    <w:rsid w:val="00A609FB"/>
    <w:rsid w:val="00A61499"/>
    <w:rsid w:val="00A62A77"/>
    <w:rsid w:val="00A63483"/>
    <w:rsid w:val="00A657D7"/>
    <w:rsid w:val="00A65D86"/>
    <w:rsid w:val="00A660AC"/>
    <w:rsid w:val="00A67E6C"/>
    <w:rsid w:val="00A71B99"/>
    <w:rsid w:val="00A739D0"/>
    <w:rsid w:val="00A761D4"/>
    <w:rsid w:val="00A77EC4"/>
    <w:rsid w:val="00A851E6"/>
    <w:rsid w:val="00A8792A"/>
    <w:rsid w:val="00A90C27"/>
    <w:rsid w:val="00A92879"/>
    <w:rsid w:val="00A9442A"/>
    <w:rsid w:val="00AA016F"/>
    <w:rsid w:val="00AA1ED6"/>
    <w:rsid w:val="00AA51D6"/>
    <w:rsid w:val="00AA590D"/>
    <w:rsid w:val="00AB0BC8"/>
    <w:rsid w:val="00AB11CA"/>
    <w:rsid w:val="00AB14D9"/>
    <w:rsid w:val="00AB2721"/>
    <w:rsid w:val="00AB4AB8"/>
    <w:rsid w:val="00AB557F"/>
    <w:rsid w:val="00AB5E42"/>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0BD"/>
    <w:rsid w:val="00B02AA9"/>
    <w:rsid w:val="00B02FA3"/>
    <w:rsid w:val="00B05084"/>
    <w:rsid w:val="00B157F9"/>
    <w:rsid w:val="00B17665"/>
    <w:rsid w:val="00B20256"/>
    <w:rsid w:val="00B20D09"/>
    <w:rsid w:val="00B228AE"/>
    <w:rsid w:val="00B2763F"/>
    <w:rsid w:val="00B27AAC"/>
    <w:rsid w:val="00B30929"/>
    <w:rsid w:val="00B35037"/>
    <w:rsid w:val="00B35BF4"/>
    <w:rsid w:val="00B372AA"/>
    <w:rsid w:val="00B40445"/>
    <w:rsid w:val="00B409E0"/>
    <w:rsid w:val="00B41888"/>
    <w:rsid w:val="00B422A9"/>
    <w:rsid w:val="00B44DBD"/>
    <w:rsid w:val="00B45A52"/>
    <w:rsid w:val="00B46175"/>
    <w:rsid w:val="00B50051"/>
    <w:rsid w:val="00B5071C"/>
    <w:rsid w:val="00B5116B"/>
    <w:rsid w:val="00B548B7"/>
    <w:rsid w:val="00B55E00"/>
    <w:rsid w:val="00B664C7"/>
    <w:rsid w:val="00B739F6"/>
    <w:rsid w:val="00B75E29"/>
    <w:rsid w:val="00B81A6C"/>
    <w:rsid w:val="00B85DE5"/>
    <w:rsid w:val="00B90F73"/>
    <w:rsid w:val="00B92390"/>
    <w:rsid w:val="00B93B59"/>
    <w:rsid w:val="00B9406A"/>
    <w:rsid w:val="00BA2280"/>
    <w:rsid w:val="00BA2A08"/>
    <w:rsid w:val="00BA56D2"/>
    <w:rsid w:val="00BA76E0"/>
    <w:rsid w:val="00BB2A25"/>
    <w:rsid w:val="00BB3AE4"/>
    <w:rsid w:val="00BB51E9"/>
    <w:rsid w:val="00BC0FDC"/>
    <w:rsid w:val="00BC3053"/>
    <w:rsid w:val="00BC3255"/>
    <w:rsid w:val="00BC4D2E"/>
    <w:rsid w:val="00BC7542"/>
    <w:rsid w:val="00BC7A46"/>
    <w:rsid w:val="00BD18B6"/>
    <w:rsid w:val="00BD48AC"/>
    <w:rsid w:val="00BD5F1A"/>
    <w:rsid w:val="00BE0960"/>
    <w:rsid w:val="00BE1234"/>
    <w:rsid w:val="00BE2FA6"/>
    <w:rsid w:val="00BE333F"/>
    <w:rsid w:val="00BE3A01"/>
    <w:rsid w:val="00BE7406"/>
    <w:rsid w:val="00BE7603"/>
    <w:rsid w:val="00BF3279"/>
    <w:rsid w:val="00BF74C7"/>
    <w:rsid w:val="00C015F1"/>
    <w:rsid w:val="00C016AA"/>
    <w:rsid w:val="00C01F33"/>
    <w:rsid w:val="00C02CC6"/>
    <w:rsid w:val="00C030EE"/>
    <w:rsid w:val="00C040F7"/>
    <w:rsid w:val="00C044AB"/>
    <w:rsid w:val="00C05706"/>
    <w:rsid w:val="00C07377"/>
    <w:rsid w:val="00C10478"/>
    <w:rsid w:val="00C12107"/>
    <w:rsid w:val="00C14D4B"/>
    <w:rsid w:val="00C154BB"/>
    <w:rsid w:val="00C22126"/>
    <w:rsid w:val="00C268E6"/>
    <w:rsid w:val="00C279B5"/>
    <w:rsid w:val="00C27C45"/>
    <w:rsid w:val="00C30C4F"/>
    <w:rsid w:val="00C3719D"/>
    <w:rsid w:val="00C37CB2"/>
    <w:rsid w:val="00C473A5"/>
    <w:rsid w:val="00C54995"/>
    <w:rsid w:val="00C54D41"/>
    <w:rsid w:val="00C60783"/>
    <w:rsid w:val="00C63C5E"/>
    <w:rsid w:val="00C64672"/>
    <w:rsid w:val="00C66CCB"/>
    <w:rsid w:val="00C67367"/>
    <w:rsid w:val="00C70697"/>
    <w:rsid w:val="00C72093"/>
    <w:rsid w:val="00C72EF4"/>
    <w:rsid w:val="00C744FE"/>
    <w:rsid w:val="00C75D2F"/>
    <w:rsid w:val="00C767BE"/>
    <w:rsid w:val="00C76E3C"/>
    <w:rsid w:val="00C81568"/>
    <w:rsid w:val="00C876CC"/>
    <w:rsid w:val="00C9027A"/>
    <w:rsid w:val="00C9068E"/>
    <w:rsid w:val="00C93814"/>
    <w:rsid w:val="00C93C4B"/>
    <w:rsid w:val="00C944AB"/>
    <w:rsid w:val="00C95B40"/>
    <w:rsid w:val="00CA1ED8"/>
    <w:rsid w:val="00CB1F63"/>
    <w:rsid w:val="00CB7170"/>
    <w:rsid w:val="00CC040E"/>
    <w:rsid w:val="00CC111F"/>
    <w:rsid w:val="00CC2011"/>
    <w:rsid w:val="00CC38E8"/>
    <w:rsid w:val="00CC3EA0"/>
    <w:rsid w:val="00CC4103"/>
    <w:rsid w:val="00CC4FCA"/>
    <w:rsid w:val="00CC525B"/>
    <w:rsid w:val="00CC6D8A"/>
    <w:rsid w:val="00CC7B45"/>
    <w:rsid w:val="00CD1096"/>
    <w:rsid w:val="00CD1188"/>
    <w:rsid w:val="00CD2ED1"/>
    <w:rsid w:val="00CD337B"/>
    <w:rsid w:val="00CD7E19"/>
    <w:rsid w:val="00CE0424"/>
    <w:rsid w:val="00CE706A"/>
    <w:rsid w:val="00CE7561"/>
    <w:rsid w:val="00CF1354"/>
    <w:rsid w:val="00CF1EAE"/>
    <w:rsid w:val="00CF3B1F"/>
    <w:rsid w:val="00CF3BF6"/>
    <w:rsid w:val="00CF625B"/>
    <w:rsid w:val="00CF687E"/>
    <w:rsid w:val="00CF6D96"/>
    <w:rsid w:val="00D0349B"/>
    <w:rsid w:val="00D0387B"/>
    <w:rsid w:val="00D10249"/>
    <w:rsid w:val="00D115C3"/>
    <w:rsid w:val="00D11897"/>
    <w:rsid w:val="00D12E35"/>
    <w:rsid w:val="00D13135"/>
    <w:rsid w:val="00D13E4E"/>
    <w:rsid w:val="00D22D4F"/>
    <w:rsid w:val="00D22D6A"/>
    <w:rsid w:val="00D239A7"/>
    <w:rsid w:val="00D23F47"/>
    <w:rsid w:val="00D36BB9"/>
    <w:rsid w:val="00D36E71"/>
    <w:rsid w:val="00D37D87"/>
    <w:rsid w:val="00D40B33"/>
    <w:rsid w:val="00D4318F"/>
    <w:rsid w:val="00D438BF"/>
    <w:rsid w:val="00D440F8"/>
    <w:rsid w:val="00D546FF"/>
    <w:rsid w:val="00D5576D"/>
    <w:rsid w:val="00D55AD5"/>
    <w:rsid w:val="00D576CA"/>
    <w:rsid w:val="00D57BFF"/>
    <w:rsid w:val="00D60AB7"/>
    <w:rsid w:val="00D61AF5"/>
    <w:rsid w:val="00D637ED"/>
    <w:rsid w:val="00D652B5"/>
    <w:rsid w:val="00D66155"/>
    <w:rsid w:val="00D708B0"/>
    <w:rsid w:val="00D70C61"/>
    <w:rsid w:val="00D730E9"/>
    <w:rsid w:val="00D775F1"/>
    <w:rsid w:val="00D77B1D"/>
    <w:rsid w:val="00D8021F"/>
    <w:rsid w:val="00D80383"/>
    <w:rsid w:val="00D823C6"/>
    <w:rsid w:val="00D8327F"/>
    <w:rsid w:val="00D86CA3"/>
    <w:rsid w:val="00D871CE"/>
    <w:rsid w:val="00D9123C"/>
    <w:rsid w:val="00D9196D"/>
    <w:rsid w:val="00D92982"/>
    <w:rsid w:val="00D93D77"/>
    <w:rsid w:val="00D95A57"/>
    <w:rsid w:val="00D961C6"/>
    <w:rsid w:val="00DA2581"/>
    <w:rsid w:val="00DA305E"/>
    <w:rsid w:val="00DA4F10"/>
    <w:rsid w:val="00DA5417"/>
    <w:rsid w:val="00DA56E8"/>
    <w:rsid w:val="00DB0A9F"/>
    <w:rsid w:val="00DB377D"/>
    <w:rsid w:val="00DC2D36"/>
    <w:rsid w:val="00DC322E"/>
    <w:rsid w:val="00DC53EF"/>
    <w:rsid w:val="00DC7187"/>
    <w:rsid w:val="00DE5608"/>
    <w:rsid w:val="00DE58D0"/>
    <w:rsid w:val="00DE654F"/>
    <w:rsid w:val="00DF0B6E"/>
    <w:rsid w:val="00DF15E0"/>
    <w:rsid w:val="00DF37A0"/>
    <w:rsid w:val="00DF4C23"/>
    <w:rsid w:val="00DF66E1"/>
    <w:rsid w:val="00E110E7"/>
    <w:rsid w:val="00E11B20"/>
    <w:rsid w:val="00E1412B"/>
    <w:rsid w:val="00E16231"/>
    <w:rsid w:val="00E17FA2"/>
    <w:rsid w:val="00E22330"/>
    <w:rsid w:val="00E307A6"/>
    <w:rsid w:val="00E30B5A"/>
    <w:rsid w:val="00E3123D"/>
    <w:rsid w:val="00E31461"/>
    <w:rsid w:val="00E31D43"/>
    <w:rsid w:val="00E32608"/>
    <w:rsid w:val="00E34188"/>
    <w:rsid w:val="00E34B6E"/>
    <w:rsid w:val="00E35559"/>
    <w:rsid w:val="00E3723A"/>
    <w:rsid w:val="00E37860"/>
    <w:rsid w:val="00E446F1"/>
    <w:rsid w:val="00E46886"/>
    <w:rsid w:val="00E47876"/>
    <w:rsid w:val="00E47AEF"/>
    <w:rsid w:val="00E53B75"/>
    <w:rsid w:val="00E54E3B"/>
    <w:rsid w:val="00E57565"/>
    <w:rsid w:val="00E63838"/>
    <w:rsid w:val="00E64434"/>
    <w:rsid w:val="00E67C51"/>
    <w:rsid w:val="00E71980"/>
    <w:rsid w:val="00E72337"/>
    <w:rsid w:val="00E72EFC"/>
    <w:rsid w:val="00E758EC"/>
    <w:rsid w:val="00E8234C"/>
    <w:rsid w:val="00E83AA9"/>
    <w:rsid w:val="00E85928"/>
    <w:rsid w:val="00E87822"/>
    <w:rsid w:val="00E90395"/>
    <w:rsid w:val="00E90E49"/>
    <w:rsid w:val="00E917F9"/>
    <w:rsid w:val="00E9291C"/>
    <w:rsid w:val="00E93FFE"/>
    <w:rsid w:val="00E94F8A"/>
    <w:rsid w:val="00EA7A41"/>
    <w:rsid w:val="00EA7AD5"/>
    <w:rsid w:val="00EB077B"/>
    <w:rsid w:val="00EB1EE5"/>
    <w:rsid w:val="00EB4EA2"/>
    <w:rsid w:val="00EC24D5"/>
    <w:rsid w:val="00EC27C6"/>
    <w:rsid w:val="00EC4207"/>
    <w:rsid w:val="00EC5653"/>
    <w:rsid w:val="00EC71CE"/>
    <w:rsid w:val="00ED1006"/>
    <w:rsid w:val="00EF18FE"/>
    <w:rsid w:val="00EF36A6"/>
    <w:rsid w:val="00EF5787"/>
    <w:rsid w:val="00EF60D0"/>
    <w:rsid w:val="00F01DF3"/>
    <w:rsid w:val="00F0528D"/>
    <w:rsid w:val="00F059F9"/>
    <w:rsid w:val="00F06C67"/>
    <w:rsid w:val="00F06DFD"/>
    <w:rsid w:val="00F071D1"/>
    <w:rsid w:val="00F07533"/>
    <w:rsid w:val="00F10629"/>
    <w:rsid w:val="00F15FA5"/>
    <w:rsid w:val="00F209B7"/>
    <w:rsid w:val="00F20F5C"/>
    <w:rsid w:val="00F2376F"/>
    <w:rsid w:val="00F243D8"/>
    <w:rsid w:val="00F26A50"/>
    <w:rsid w:val="00F30828"/>
    <w:rsid w:val="00F313D6"/>
    <w:rsid w:val="00F40F0C"/>
    <w:rsid w:val="00F41688"/>
    <w:rsid w:val="00F47429"/>
    <w:rsid w:val="00F4766C"/>
    <w:rsid w:val="00F47AE9"/>
    <w:rsid w:val="00F5060E"/>
    <w:rsid w:val="00F507D1"/>
    <w:rsid w:val="00F519CE"/>
    <w:rsid w:val="00F51ADA"/>
    <w:rsid w:val="00F55FC8"/>
    <w:rsid w:val="00F57C08"/>
    <w:rsid w:val="00F60203"/>
    <w:rsid w:val="00F607C5"/>
    <w:rsid w:val="00F60DEA"/>
    <w:rsid w:val="00F62F2B"/>
    <w:rsid w:val="00F6302A"/>
    <w:rsid w:val="00F63950"/>
    <w:rsid w:val="00F64C2B"/>
    <w:rsid w:val="00F651BE"/>
    <w:rsid w:val="00F67F53"/>
    <w:rsid w:val="00F703BE"/>
    <w:rsid w:val="00F71F69"/>
    <w:rsid w:val="00F72B72"/>
    <w:rsid w:val="00F74BB9"/>
    <w:rsid w:val="00F75582"/>
    <w:rsid w:val="00F76EFA"/>
    <w:rsid w:val="00F804BE"/>
    <w:rsid w:val="00F81690"/>
    <w:rsid w:val="00F817CE"/>
    <w:rsid w:val="00F8456C"/>
    <w:rsid w:val="00F859D8"/>
    <w:rsid w:val="00F85A30"/>
    <w:rsid w:val="00F868F5"/>
    <w:rsid w:val="00F904D2"/>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24F0"/>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styleId="NormalWeb">
    <w:name w:val="Normal (Web)"/>
    <w:basedOn w:val="Normal"/>
    <w:uiPriority w:val="99"/>
    <w:unhideWhenUsed/>
    <w:rsid w:val="009B7473"/>
    <w:pPr>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table" w:styleId="TableTheme">
    <w:name w:val="Table Theme"/>
    <w:basedOn w:val="TableNormal"/>
    <w:rsid w:val="006F2034"/>
    <w:pPr>
      <w:autoSpaceDE w:val="0"/>
      <w:autoSpaceDN w:val="0"/>
      <w:adjustRightInd w:val="0"/>
      <w:snapToGrid w:val="0"/>
      <w:spacing w:after="120"/>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basedOn w:val="DefaultParagraphFont"/>
    <w:uiPriority w:val="34"/>
    <w:locked/>
    <w:rsid w:val="00AB557F"/>
    <w:rPr>
      <w:rFonts w:ascii="MS Gothic" w:eastAsia="MS Gothic" w:hAnsi="MS Gothic"/>
    </w:rPr>
  </w:style>
  <w:style w:type="paragraph" w:customStyle="1" w:styleId="Comments">
    <w:name w:val="Comments"/>
    <w:basedOn w:val="Normal"/>
    <w:link w:val="CommentsChar"/>
    <w:qFormat/>
    <w:rsid w:val="00632964"/>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632964"/>
    <w:rPr>
      <w:rFonts w:ascii="Arial" w:eastAsia="MS Mincho" w:hAnsi="Arial"/>
      <w:i/>
      <w:sz w:val="18"/>
      <w:szCs w:val="24"/>
    </w:rPr>
  </w:style>
  <w:style w:type="paragraph" w:customStyle="1" w:styleId="Agreement">
    <w:name w:val="Agreement"/>
    <w:basedOn w:val="Normal"/>
    <w:next w:val="Normal"/>
    <w:qFormat/>
    <w:rsid w:val="00632964"/>
    <w:pPr>
      <w:numPr>
        <w:numId w:val="14"/>
      </w:numPr>
      <w:overflowPunct/>
      <w:autoSpaceDE/>
      <w:autoSpaceDN/>
      <w:adjustRightInd/>
      <w:spacing w:before="60" w:after="0"/>
      <w:jc w:val="left"/>
      <w:textAlignment w:val="auto"/>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274483">
      <w:bodyDiv w:val="1"/>
      <w:marLeft w:val="0"/>
      <w:marRight w:val="0"/>
      <w:marTop w:val="0"/>
      <w:marBottom w:val="0"/>
      <w:divBdr>
        <w:top w:val="none" w:sz="0" w:space="0" w:color="auto"/>
        <w:left w:val="none" w:sz="0" w:space="0" w:color="auto"/>
        <w:bottom w:val="none" w:sz="0" w:space="0" w:color="auto"/>
        <w:right w:val="none" w:sz="0" w:space="0" w:color="auto"/>
      </w:divBdr>
    </w:div>
    <w:div w:id="678703786">
      <w:bodyDiv w:val="1"/>
      <w:marLeft w:val="0"/>
      <w:marRight w:val="0"/>
      <w:marTop w:val="0"/>
      <w:marBottom w:val="0"/>
      <w:divBdr>
        <w:top w:val="none" w:sz="0" w:space="0" w:color="auto"/>
        <w:left w:val="none" w:sz="0" w:space="0" w:color="auto"/>
        <w:bottom w:val="none" w:sz="0" w:space="0" w:color="auto"/>
        <w:right w:val="none" w:sz="0" w:space="0" w:color="auto"/>
      </w:divBdr>
    </w:div>
    <w:div w:id="950235514">
      <w:bodyDiv w:val="1"/>
      <w:marLeft w:val="0"/>
      <w:marRight w:val="0"/>
      <w:marTop w:val="0"/>
      <w:marBottom w:val="0"/>
      <w:divBdr>
        <w:top w:val="none" w:sz="0" w:space="0" w:color="auto"/>
        <w:left w:val="none" w:sz="0" w:space="0" w:color="auto"/>
        <w:bottom w:val="none" w:sz="0" w:space="0" w:color="auto"/>
        <w:right w:val="none" w:sz="0" w:space="0" w:color="auto"/>
      </w:divBdr>
    </w:div>
    <w:div w:id="20625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48AC49A-C264-43C8-9CA1-359F2D59F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1166</TotalTime>
  <Pages>3</Pages>
  <Words>1211</Words>
  <Characters>6230</Characters>
  <Application>Microsoft Office Word</Application>
  <DocSecurity>0</DocSecurity>
  <Lines>132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DL Coverage Enh</vt:lpstr>
      <vt:lpstr>Ericsson</vt:lpstr>
    </vt:vector>
  </TitlesOfParts>
  <Company>Ericsson</Company>
  <LinksUpToDate>false</LinksUpToDate>
  <CharactersWithSpaces>7367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Coverage Enh</dc:title>
  <dc:subject/>
  <dc:creator>Flavien Ronteix (Thales)</dc:creator>
  <cp:keywords>3GPP;Thales;RAN2</cp:keywords>
  <dc:description/>
  <cp:lastModifiedBy>Thales (Rapporteur)</cp:lastModifiedBy>
  <cp:revision>14</cp:revision>
  <cp:lastPrinted>2008-01-31T07:09:00Z</cp:lastPrinted>
  <dcterms:created xsi:type="dcterms:W3CDTF">2024-11-08T09:24:00Z</dcterms:created>
  <dcterms:modified xsi:type="dcterms:W3CDTF">2025-03-26T17:37:00Z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